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30236-2025 i Gotlands kommun</w:t>
      </w:r>
    </w:p>
    <w:p>
      <w:r>
        <w:t>Detta dokument behandlar höga naturvärden i avverkningsanmälan A 30236-2025 i Gotlands kommun. Denna avverkningsanmälan inkom 2025-06-19 00:00:00 och omfattar 13,6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30 naturvårdsarter hittats: bullspindling (VU), duvspindling (VU), granrotsspindling (VU), gulsträngad fagerspindling (VU), läderdoftande fingersvamp (VU), stor granspindling (VU), svartgrön spindling (VU), vit taggsvamp (VU), denisespindling (NT), jordtistel (NT), odörspindling (NT), reliktbock (NT), spillkråka (NT, §4), svinrot (NT), anisspindling (S), blå slemspindling (S), blåmossa (S), Geastrum (S), grönpyrola (S), kantjordstjärna (S), nästrot (S, §8), olivspindling (S), purpurknipprot (S, §8), rödfläckig zontaggsvamp (S), tvåblad (S, §8), vit skogslilja (S, §8), zontaggsvamp (S), grönvit nattviol (§8), nattviol (§8) och sankt pers nycklar (§8). Av dessa är 14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29822"/>
            <wp:docPr id="1" name="Picture 1"/>
            <wp:cNvGraphicFramePr>
              <a:graphicFrameLocks noChangeAspect="1"/>
            </wp:cNvGraphicFramePr>
            <a:graphic>
              <a:graphicData uri="http://schemas.openxmlformats.org/drawingml/2006/picture">
                <pic:pic>
                  <pic:nvPicPr>
                    <pic:cNvPr id="0" name="A 30236-2025 karta.png"/>
                    <pic:cNvPicPr/>
                  </pic:nvPicPr>
                  <pic:blipFill>
                    <a:blip r:embed="rId16"/>
                    <a:stretch>
                      <a:fillRect/>
                    </a:stretch>
                  </pic:blipFill>
                  <pic:spPr>
                    <a:xfrm>
                      <a:off x="0" y="0"/>
                      <a:ext cx="5486400" cy="40298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6385159, E 725605 i SWEREF 99 TM.</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Blå slemspindling</w:t>
      </w:r>
      <w:r>
        <w:t xml:space="preserve"> är en mykorrhizasvamp som förekommer i kalkgranskogar med välutvecklade mossmattor och ett örtrikt fältskikt. Den växer även på rik mark i ädellövskog under bok, ek. lind och hassel. Växtplatserna har ofta hög luftfuktighet och ligger gärna i anslutning till en bäck eller ett fuktdråg där marken inte blir helt uttorkad under sommaren. Arten signalerar höga naturvärden och växer ofta tillsammans med många andra ovanliga och rödlistade arter. Blå slemspindling är typisk art för </w:t>
      </w:r>
      <w:r>
        <w:rPr>
          <w:i/>
        </w:rPr>
        <w:t xml:space="preserve">9050 Näringsrik granskog </w:t>
      </w:r>
      <w:r>
        <w:t>(SLU Artdatabanken, 2025; Nitare &amp; Skogsstyrelsen, 2019).</w:t>
      </w:r>
    </w:p>
    <w:p>
      <w:r>
        <w:rPr>
          <w:b/>
        </w:rPr>
        <w:t>Bullspindling (VU)</w:t>
      </w:r>
      <w:r>
        <w:t xml:space="preserve"> är en kräsen och mycket bra signalart för skyddsvärda äldre granskogar på kalkrik mark. Den är placerad högst upp i Skogsstyrelsens värdepyramid för bedömning av skog med höga naturvärden och skogsbruk, främst kalavverkning utgör ett stort hot mot arten. Artens minskningstakt uppgår till 30 % inom 50 år och överstiger gränsvärdet för Sårbar (VU) (SLU Artdatabanken, 2024; Nitare &amp; Skogsstyrelsen, 2019).</w:t>
      </w:r>
    </w:p>
    <w:p>
      <w:r>
        <w:rPr>
          <w:b/>
        </w:rPr>
        <w:t>Denisespindling (NT)</w:t>
      </w:r>
      <w:r>
        <w:t xml:space="preserve"> bildar mykorrhiza med tall och gran i kalktallskog och ängsgranskog på kalkrik mark. Artens koppling till produktiva äldre granskogar med hög bonitet gör den särskilt utsatt för slutavverkning. Kalkbarrskogar med höga naturvärden bör undantas från rationellt skogsbruk och få områdesskydd med anpassade skötselråd (SLU Artdatabanken, 2024).</w:t>
      </w:r>
    </w:p>
    <w:p>
      <w:r>
        <w:rPr>
          <w:b/>
        </w:rPr>
        <w:t>Duvspindling (VU)</w:t>
      </w:r>
      <w:r>
        <w:t xml:space="preserve"> bildar mykorrhiza med tall och förmodligen även gran i torr, kalkrik barrskog. Arten är placerad högst upp i Skogsstyrelsens värdepyramid för bedömning av skog med höga naturvärden och utgör en mycket bra indikator på skyddsvärd kalktallskog av sydöstlig typ. Kalavverkning, markberedning och markavvattning utgör de främsta hoten (SLU Artdatabanken, 2024; Nitare &amp; Skogsstyrelsen, 2019).</w:t>
      </w:r>
    </w:p>
    <w:p>
      <w:r>
        <w:rPr>
          <w:b/>
        </w:rPr>
        <w:t xml:space="preserve">Granrotsspindling (VU) </w:t>
      </w:r>
      <w:r>
        <w:t>bildar mykorrhiza med gran. Växer i djup barrförna, gärna i gamla myrstackar, i medelålders till äldre ängsgranskog på kalkrik mark.</w:t>
      </w:r>
      <w:r>
        <w:rPr>
          <w:b/>
        </w:rPr>
        <w:t xml:space="preserve"> </w:t>
      </w:r>
      <w:r>
        <w:t>Minskningstakten uppgår till 30 % inom 50 år och överstiger gränsvärdet för Sårbar (VU) enligt A-kriteriet. (A2c+3c+4c). Arten missgynnas av avverkning och markberedning. Generellt bör lokaler som är särskilt rika på förekomster av sällsynta svampar säkerställas och lämnas för fri utveckling (SLU Artdatabanken, 2024).</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Gulsträngad fagerspindling (VU)</w:t>
      </w:r>
      <w:r>
        <w:t>, som bildar mykorrhiza med tall och gran i luckig kalkbarrskog, har sin huvudsakliga utbredning på Gotland samt enstaka fynd på norra Öland. Arten är placerad högst upp i Skogsstyrelsens värdepyramid för bedömning av skog med höga naturvärden och hotas av slutavverkningar av äldre kontinuitetsbarrskog. Lokaler med arten måste skyddas från avverkning och kalkbrytning. Gulsträngad fagerspindling är globalt rödlistad som sårbar (VU) vilket innebär att Sverige har ett internationellt ansvar för arten (SLU Artdatabanken, 2024; Nitare &amp; Skogsstyrelsen, 2019; IUCN, 2019).</w:t>
      </w:r>
    </w:p>
    <w:p>
      <w:r>
        <w:rPr>
          <w:b/>
        </w:rPr>
        <w:t xml:space="preserve">Läderdoftande fingersvamp (VU) </w:t>
      </w:r>
      <w:r>
        <w:t>bildar mykorrhiza med gran i örtrik äldre barrskog, ofta på kalkrik mark. Den har en speciell doft som kan påminna om nytt skoläder (skoaffär), därav det svenska namnet. Den totala populationen i landet bedöms ändå ha minskat starkt och fortsatt kommer att minska då arten är knuten till en bördig äldre kalkgranskogsmiljö som successivt avverkas och där få områden alltjämt är formellt skyddade. All form av hårdhänt skogsavverkning på eller i närheten av växtplatsen missgynnar arten. Artens huvudsakliga koppling till produktiva äldre granskogar med hög bonitet gör den särskilt utsatt för slutavverkning. Samtliga lokaler bör undantas från rationellt skogsbruk och få ett områdesskydd (SLU Artdatabanken, 2024; Nitare &amp; Skogsstyrelsen, 2019).</w:t>
      </w:r>
    </w:p>
    <w:p>
      <w:r>
        <w:rPr>
          <w:b/>
        </w:rPr>
        <w:t>Odörspindling (NT)</w:t>
      </w:r>
      <w:r>
        <w:t xml:space="preserve"> bildar mykorrhiza med gran och tall i örtrik kalkbarrskog. Den uppträder huvudsakligen i äldre barrskogar så kallade ”bondeskogar” med en lång trädkontinuitet. Minskningstakten uppgår till 15 % inom 50 år och bedöms vara nära gränsvärdet för Sårbar (VU). (A2c+3c+4c). Virkesrika, äldre barrskogar med hög bonitet, på bättre jordar är en bristvara i befintliga, skyddade områden i Sverige och fler örtrika barrskogar med trädkontinuitet måste skyddas i större utsträckning än vad som tidigare gjorts. Områden med odörspindling bör inte gallras eller plockhuggas om inte huggningen efterföljs av skogsbete (SLU Artdatabanken, 2024).</w:t>
      </w:r>
    </w:p>
    <w:p>
      <w:r>
        <w:rPr>
          <w:b/>
        </w:rPr>
        <w:t>Olivspindling</w:t>
      </w:r>
      <w:r>
        <w:t xml:space="preserve"> växer uteslutande på näringsrik och kalkhaltig skogsmark där den huvudsakligen bildar mykorrhiza med gran och tall. Svampen är en typisk representant för kalkgranskogens särpräglade och rika svampflora. Kalavverkning är ett hot mot arten, eftersom den sannolikt kräver lång kontinuitet av äldre träd. Populationerna i landet bedöms därför minska beroende på slutavverkning av äldre barrskog på kalkhaltig mark (SLU Artdatabanken, 2024; Nitare &amp; Skogsstyrelsen, 2019).</w:t>
      </w:r>
    </w:p>
    <w:p>
      <w:r>
        <w:rPr>
          <w:b/>
        </w:rPr>
        <w:t>Reliktbock (NT)</w:t>
      </w:r>
      <w:r>
        <w:t xml:space="preserve"> är en skalbagge vars larvutveckling sker i tjock, solexponerad skorpbark på gamla, levande tallar. Ofta i träd som under längre tid stått fritt och öppet, t.ex. i kantzoner i odlingslandskap, längs stränder och åsar, men också i gles, gammal tallskog på mager mark. Arten är brandgynnad genom att omgivande småträd och buskar försvinner vid lågintensiva bränder samtidigt som gamla tallar överlever och förblir solexponerade. Minskningstakten för den svenska populationen bedöms vara nära gränsvärdet för Sårbar (VU) och i den europeiska rödlistan är reliktbock rödlistad som Sårbar (VU) vilket innebär att Sverige har ett internationellt ansvar för arten. Gamla tallskogar bör få ett långsiktigt skydd, och inte slutavverkas. Reliktbock är typisk art för </w:t>
      </w:r>
      <w:r>
        <w:rPr>
          <w:i/>
        </w:rPr>
        <w:t>9010 Taiga</w:t>
      </w:r>
      <w:r>
        <w:t xml:space="preserve"> och</w:t>
      </w:r>
      <w:r>
        <w:rPr>
          <w:i/>
        </w:rPr>
        <w:t xml:space="preserve"> 9060 Åsbarrskog</w:t>
      </w:r>
      <w:r>
        <w:t xml:space="preserve"> (SLU Artdatabanken, 2024; IUCN, 2016).</w:t>
      </w:r>
    </w:p>
    <w:p>
      <w:r>
        <w:rPr>
          <w:b/>
        </w:rPr>
        <w:t>Svartgrön spindling (VU)</w:t>
      </w:r>
      <w:r>
        <w:t>, som bildar mykorrhiza med gran och tall i ängsgranskog och barrblandskog på kalkrik mark, har i Sverige sin huvudsakliga utbredning på Gotland. Arten är placerad högst upp i Skogsstyrelsens värdepyramid för bedömning av skog med höga naturvärden och den missgynnas av intensivt skogsbruk och kalavverkningar. Svartgrön spindling är globalt rödlistad som nära hotad (NT) vilket innebär att Sverige har ett internationellt ansvar för arten (SLU Artdatabanken, 2024; Nitare &amp; Skogsstyrelsen, 2019; IUCN, 2019).</w:t>
      </w:r>
    </w:p>
    <w:p>
      <w:r>
        <w:rPr>
          <w:b/>
        </w:rPr>
        <w:t xml:space="preserve">Vit taggsvamp (VU) </w:t>
      </w:r>
      <w:r>
        <w:t>bildar mykorrhiza med gran och tall i äldre ängsgranskog och hällmarksbarrskog på kalkrik mark. Kända aktuella lokaler finns endast på Gotland. Det främsta hotet mot arten är avverkning av dess värdträd gran och tall och kända lokaler bör undantas från avverkning för att säkra att dessa hålls intakta (SLU Artdatabanken, 2024).</w:t>
      </w:r>
    </w:p>
    <w:p>
      <w:pPr>
        <w:pStyle w:val="Heading1"/>
      </w:pPr>
      <w:r>
        <w:t>Fridlysta arter</w:t>
      </w:r>
    </w:p>
    <w:p>
      <w:r>
        <w:t>Följande fridlysta arter har sina livsmiljöer och växtplatser i den avverkningsanmälda skogen: spillkråka (NT, §4), nästrot (S, §8), purpurknipprot (S, §8), tvåblad (S, §8), vit skogslilja (S, §8), grönvit nattviol (§8), nattviol (§8) och sankt pers 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