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63872-2021 i Gotlands kommun</w:t>
      </w:r>
    </w:p>
    <w:p>
      <w:r>
        <w:t>Detta dokument behandlar höga naturvärden i avverkningsanmälan A 63872-2021 i Gotlands kommun. Denna avverkningsanmälan inkom 2021-11-09 00:00:00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Kristallporing (NT) </w:t>
      </w:r>
      <w:r>
        <w:t>är en nedbrytare på liggande, fuktiga och genommurkna lågor av ofta gran men även lövträd, i skog med hög luftfuktighet. Arten torde missgynnas av åtgärder som leder till minskad tillgång på lämpligt vedsubstrat i fuktiga lägen, t ex slutavverkning, gallring och sönderkörning av lågor. Arten är uppenbarligen sällsynt och med liten population. Den hotas av brist på död ved i brukad skog. Alla skogliga åtgärder som innebär att lågor och döda eller skadade träd tas bort missgynnar arten. En slutavverkning, skoglig gallring eller annat uttag av virke på växtplatsen som ger ett förändrat lokalklimat innebär ett direkt hot. För att säkerställa kristallporingens fortlevnad bör man dels se till att dess växtplatser hålls intakta, dels att ny ved tillkommer, gärna i omedelbar anslutning. Befintliga vindfällen, döende träd, torrakor och lågor lämnas intakta. Ett långsiktigt tillförsäkrande om framtida tillgång till ved är en förutsättning för artens fortlevnad i området (SLU Artdatabanken, 2025).</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