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dokument behandlar höga naturvärden i avverkningsanmälan A 45536-2025 i Gotlands kommun. Denna avverkningsanmälan inkom 2025-09-22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slät taggsvamp (EN), granrotspindling (VU), gulsträngad fagerspindling (VU), läderdoftande fingersvamp (VU), narrspindling (VU), sotbandad spindling (VU), stor granspindling (VU), svartgrön spindling (VU), violettfläckig spindling (VU), violettrandad spindling (VU), backtimjan (NT), odörspindling (NT), spillkråka (NT, §4), grynspindling (DD), anisspindling (S), blå slemspindling (S), blåmossa (S), fjällig taggsvamp s.str. (S), fransig jordstjärna (S), kryddspindling (S), mindre märgborre (S), nästrot (S, §8), olivspindling (S), skarp dropptaggsvamp (S), sårläka (S), tjockfotad fingersvamp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6373990, E 719213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spillkråka (NT, §4), nästrot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