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14450-2023 i Gotlands kommun</w:t>
      </w:r>
    </w:p>
    <w:p>
      <w:r>
        <w:t>Detta dokument behandlar höga naturvärden i avverkningsanmälan A 14450-2023 i Gotlands kommun. Denna avverkningsanmälan inkom 2023-03-27 00:00:00 och omfattar 11,6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36 naturvårdsarter hittats: bullspindling (VU), duvspindling (VU), granrotspindling (VU), gulsträngad fagerspindling (VU), pluggtrattskivling (VU), svartgrön spindling (VU), vit taggsvamp (VU), backtimjan (NT), bittermusseron (NT), denisespindling (NT), dårgräsfjäril (NT, §4a), flattoppad klubbsvamp (NT), jordtistel (NT), mjölsvärting (NT), odörspindling (NT), svart taggsvamp agg. (NT), svinrot (NT), trollspindling (DD), anisspindling (S), blå slemspindling (S), diskvaxskivling (S), fjällig taggsvamp s.str. (S), fransig jordstjärna (S), kastanjefjällskivling (S), kattfotslav (S), mindre märgborre (S), murgröna (S), nästrot (S, §8), olivspindling (S), rödfläckig zontaggsvamp (S), rödgul trumpetsvamp (S), ullmusseron (S), vågbandad barkbock (S), sankt pers nycklar (§8), blåsippa (§9) och gullviva (§9).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2244"/>
            <wp:docPr id="1" name="Picture 1"/>
            <wp:cNvGraphicFramePr>
              <a:graphicFrameLocks noChangeAspect="1"/>
            </wp:cNvGraphicFramePr>
            <a:graphic>
              <a:graphicData uri="http://schemas.openxmlformats.org/drawingml/2006/picture">
                <pic:pic>
                  <pic:nvPicPr>
                    <pic:cNvPr id="0" name="A 14450-2023 karta.png"/>
                    <pic:cNvPicPr/>
                  </pic:nvPicPr>
                  <pic:blipFill>
                    <a:blip r:embed="rId16"/>
                    <a:stretch>
                      <a:fillRect/>
                    </a:stretch>
                  </pic:blipFill>
                  <pic:spPr>
                    <a:xfrm>
                      <a:off x="0" y="0"/>
                      <a:ext cx="5486400" cy="49722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6359099, E 693084 i SWEREF 99 TM.</w:t>
      </w:r>
    </w:p>
    <w:p>
      <w:r>
        <w:rPr>
          <w:b/>
        </w:rPr>
        <w:t>Bittermusseron (NT)</w:t>
      </w:r>
      <w:r>
        <w:t xml:space="preserve"> är en kalkgynnad och värmeälskande förnasvamp som påträffas i äldre kalkbarrskogar, gärna på relativt torr mark. Virkesrika, äldre barrskogar med hög bonitet, på bättre jordar är en bristvara i befintliga, skyddade områden i Sverige. Därför måste fler örtrika barrskogar, särskilt de med trädkontinuitet, skyddas i större utsträckning än vad som tidigare gjorts. Uttag av skog ska helst göras genom plockhuggning, blädning eller andra alternativa, skonsamma avverkningsformer (SLU Artdatabanken, 2024; Nitare &amp; Skogsstyrelsen, 2019).</w:t>
      </w:r>
    </w:p>
    <w:p>
      <w:r>
        <w:rPr>
          <w:b/>
        </w:rPr>
        <w:t>Blå slemspindling</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Blå slemspindling är typisk art för </w:t>
      </w:r>
      <w:r>
        <w:rPr>
          <w:i/>
        </w:rPr>
        <w:t xml:space="preserve">9050 Näringsrik granskog </w:t>
      </w:r>
      <w:r>
        <w:t>(SLU Artdatabanken, 2025; Nitare &amp; Skogsstyrelsen, 2019).</w:t>
      </w:r>
    </w:p>
    <w:p>
      <w:r>
        <w:rPr>
          <w:b/>
        </w:rPr>
        <w:t>Bullspindling (VU)</w:t>
      </w:r>
      <w:r>
        <w:t xml:space="preserve"> är en kräsen och mycket bra signalart för skyddsvärda äldre granskogar på kalkrik mark. Den är placerad högst upp i Skogsstyrelsens värdepyramid för bedömning av skog med höga naturvärden och skogsbruk, främst kalavverkning utgör ett stort hot mot arten. Artens minskningstakt uppgår till 30 % inom 50 år och överstiger gränsvärdet för Sårbar (VU) (SLU Artdatabanken, 2024; Nitare &amp; Skogsstyrelsen, 2019).</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Pluggtrattskivling (VU)</w:t>
      </w:r>
      <w:r>
        <w:t>, rödlistad som sårbar,</w:t>
      </w:r>
      <w:r>
        <w:rPr>
          <w:b/>
        </w:rPr>
        <w:t xml:space="preserve"> </w:t>
      </w:r>
      <w:r>
        <w:t>är en stor, kraftig och uppmärksammad svamp som uppenbart är mycket ovanlig. Den växer i förna under barrträd i gammal barrskog, helst ängsgranskog på kalkrik mark. Skogsbruk, särskilt slutavverkning, inverkar negativt på arten. Den är troligen också känslig för gallring och markberedning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 xml:space="preserve">Svart taggsvamp agg.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pPr>
        <w:pStyle w:val="Heading1"/>
      </w:pPr>
      <w:r>
        <w:t>Fridlysta arter</w:t>
      </w:r>
    </w:p>
    <w:p>
      <w:r>
        <w:t>Följande fridlysta arter har sina livsmiljöer och växtplatser i den avverkningsanmälda skogen: dårgräsfjäril (NT, §4a), nästrot (S, §8), sankt pers nycklar (§8), blåsippa (§9) och gullviva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36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