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9921-2023 i Gotlands kommun</w:t>
      </w:r>
    </w:p>
    <w:p>
      <w:r>
        <w:t>Detta dokument behandlar höga naturvärden i avverkningsanmälan A 9921-2023 i Gotlands kommun. Denna avverkningsanmälan inkom 2023-02-28 00:00:00 och omfattar 16,3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34 naturvårdsarter hittats: duvspindling (VU), granrotspindling (VU), gul lammticka (VU), gulsträngad fagerspindling (VU), svartgrön spindling (VU), taggfingersvamp (VU), tvillingspindling (VU), violettfläckig spindling (VU), vit taggsvamp (VU), backtimjan (NT), denisespindling (NT), doftskinn (NT), flattoppad klubbsvamp (NT), jordtistel (NT), odörspindling (NT), solvända (NT), spillkråka (NT, §4), tallticka (NT), anisspindling (S), besk kastanjemusseron (S), blå slemspindling (S), diskvaxskivling (S), dropptaggsvamp (S), fransig jordstjärna (S), kastanjefjällskivling (S), mindre märgborre (S), nästrot (S, §8), olivspindling (S), rödfläckig zontaggsvamp (S), rödgul trumpetsvamp (S), vågbandad barkbock (S), vårärt (S), sankt pers nycklar (§8) och blåsippa (§9).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46996"/>
            <wp:docPr id="1" name="Picture 1"/>
            <wp:cNvGraphicFramePr>
              <a:graphicFrameLocks noChangeAspect="1"/>
            </wp:cNvGraphicFramePr>
            <a:graphic>
              <a:graphicData uri="http://schemas.openxmlformats.org/drawingml/2006/picture">
                <pic:pic>
                  <pic:nvPicPr>
                    <pic:cNvPr id="0" name="A 9921-2023 karta.png"/>
                    <pic:cNvPicPr/>
                  </pic:nvPicPr>
                  <pic:blipFill>
                    <a:blip r:embed="rId16"/>
                    <a:stretch>
                      <a:fillRect/>
                    </a:stretch>
                  </pic:blipFill>
                  <pic:spPr>
                    <a:xfrm>
                      <a:off x="0" y="0"/>
                      <a:ext cx="5486400" cy="61469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6362709, E 695303 i SWEREF 99 TM.</w:t>
      </w:r>
    </w:p>
    <w:p>
      <w:r>
        <w:rPr>
          <w:b/>
        </w:rPr>
        <w:t>Blå slemspindling</w:t>
      </w:r>
      <w:r>
        <w:t xml:space="preserve"> är en mykorrhizasvamp som förekommer i kalkgranskogar med välutvecklade mossmattor och ett örtrikt fältskikt. Den växer även på rik mark i ädellövskog under bok, ek. lind och hassel. Växtplatserna har ofta hög luftfuktighet och ligger gärna i anslutning till en bäck eller ett fuktdråg där marken inte blir helt uttorkad under sommaren. Arten signalerar höga naturvärden och växer ofta tillsammans med många andra ovanliga och rödlistade arter. Blå slemspindling är typisk art för </w:t>
      </w:r>
      <w:r>
        <w:rPr>
          <w:i/>
        </w:rPr>
        <w:t xml:space="preserve">9050 Näringsrik granskog </w:t>
      </w:r>
      <w:r>
        <w:t>(SLU Artdatabanken, 2025; Nitare &amp; Skogsstyrelsen, 2019).</w:t>
      </w:r>
    </w:p>
    <w:p>
      <w:r>
        <w:rPr>
          <w:b/>
        </w:rPr>
        <w:t>Denisespindling (NT)</w:t>
      </w:r>
      <w:r>
        <w:t xml:space="preserve"> bildar mykorrhiza med tall och gran i kalktallskog och ängsgranskog på kalkrik mark. Artens koppling till produktiva äldre granskogar med hög bonitet gör den särskilt utsatt för slutavverkning. Kalkbarrskogar med höga naturvärden bör undantas från rationellt skogsbruk och få områdesskydd med anpassade skötselråd (SLU Artdatabanken, 2024).</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Duvspindling (VU)</w:t>
      </w:r>
      <w:r>
        <w:t xml:space="preserve"> bildar mykorrhiza med tall och förmodligen även gran i torr, kalkrik barrskog. Arten är placerad högst upp i Skogsstyrelsens värdepyramid för bedömning av skog med höga naturvärden och utgör en mycket bra indikator på skyddsvärd kalktallskog av sydöstlig typ. Kalavverkning, markberedning och markavvattning utgör de främsta hoten (SLU Artdatabanken, 2024; Nitare &amp; Skogsstyrelsen, 2019).</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 xml:space="preserve">Granrotspindling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Gul lammticka (VU)</w:t>
      </w:r>
      <w:r>
        <w:t xml:space="preserve"> bildar mykorrhiza med gran och förekommer i örtrik barrskog på kalkrik mark. Arten är placerad högst upp i Skogsstyrelsens värdepyramid för bedömning av skog med höga naturvärden och indikerar alltid skyddsvärda kalkgranskogar med höga naturvärden. Svampen tål inte slutavverkning och lokaler med gul lammticka bör skyddas som biotopskyddsområden eller naturreservat och lämnas för fri utveckling (SLU Artdatabanken, 2024; Nitare &amp; Skogsstyrelsen, 2019).</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Svartgrön spindling (VU)</w:t>
      </w:r>
      <w:r>
        <w:t>, som bildar mykorrhiza med gran och tall i ängsgranskog och barrblandskog på kalkrik mark, har i Sverige sin huvudsakliga utbredning på Gotland. Arten är placerad högst upp i Skogsstyrelsens värdepyramid för bedömning av skog med höga naturvärden och den missgynnas av intensivt skogsbruk och kalavverkningar. Svartgrön spindling är globalt rödlistad som nära hotad (NT) vilket innebär att Sverige har ett internationellt ansvar för arten (SLU Artdatabanken, 2024; Nitare &amp; Skogsstyrelsen, 2019; IUCN, 2019).</w:t>
      </w:r>
    </w:p>
    <w:p>
      <w:r>
        <w:rPr>
          <w:b/>
        </w:rPr>
        <w:t xml:space="preserve">Taggfingersvamp (VU) </w:t>
      </w:r>
      <w:r>
        <w:t>är knuten till granskogar med långvarig kontinuitet och bildar mykorrhiza med gran på rikare mark. Den totala populationen i landet bedöms ha minskat kraftigt och fortgående att minska, huvudsakligen p.g.a. att arealen örtrik äldre granskog har minskat de senaste 50 åren. Den hotas främst av skogsavverkning och tycks försvinna efter slutavverkning, markberedning och plantering och det saknas uppgifter om fynd i planterad skog eller sekundär granskog uppkommen på kalmark. Taggfingersvamp är placerad högst upp i Skogsstyrelsens värdepyramid för bedömning av skog med höga naturvärden. Områdesskydd är en viktig åtgärd för att bevara artens förekomster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Tvillingspindling (VU)</w:t>
      </w:r>
      <w:r>
        <w:t xml:space="preserve"> bildar mykorrhiza med gran och växer enbart i örtrika grandominerade kalkbarrskogar med kontinuitet och hög bonitet, miljöer som idag är starkt hotade av slutavverkningar. Tvillingspindlingen liksom en lång rad av dess följearter knutna till kalk- och örtrika barrblandskogar med lång kontinuitet är beroende av områdesskydd eller naturvårdsavtal som förhindrar slutavverkningar av dess växtmiljöer (SLU Artdatabanken, 2024).</w:t>
      </w:r>
    </w:p>
    <w:p>
      <w:r>
        <w:rPr>
          <w:b/>
        </w:rPr>
        <w:t>Violettfläckig spindling (VU)</w:t>
      </w:r>
      <w:r>
        <w:t xml:space="preserve"> bildar mykorrhiza med gran och tall i äldre kalkbarrskogar på torr, örtrik mark. Minskningstakten uppgår till 30 % inom 50 år och överstiger gränsvärdet för Sårbar (VU). Artens ekologiska krav med fynd enbart i äldre, örtrika kalkbarrskogar med kontinuitet, miljöer som idag ofta är starkt hotade av slutavverkningar, gör den mycket sårbar. Alla kända lokaler har ett högt skyddsvärde och kalkbarrskogar med höga naturvärden bör få områdesskydd med individuellt anpassade skötselråd (SLU Artdatabanken, 2024).</w:t>
      </w:r>
    </w:p>
    <w:p>
      <w:r>
        <w:rPr>
          <w:b/>
        </w:rPr>
        <w:t xml:space="preserve">Vit taggsvamp (VU) </w:t>
      </w:r>
      <w:r>
        <w:t>bildar mykorrhiza med gran och tall i äldre ängsgranskog och hällmarksbarrskog på kalkrik mark. Kända aktuella lokaler finns endast på Gotland. Det främsta hotet mot arten är avverkning av dess värdträd gran och tall och kända lokaler bör undantas från avverkning för att säkra att dessa hålls intakta (SLU Artdatabanken, 2024).</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Vårärt är typisk art för </w:t>
      </w:r>
      <w:r>
        <w:rPr>
          <w:i/>
        </w:rPr>
        <w:t xml:space="preserve">9050 Näringsrik granskog, 9020 Nordlig ädellövskog, 9160 Näringsrik ekskog </w:t>
      </w:r>
      <w:r>
        <w:t xml:space="preserve">och </w:t>
      </w:r>
      <w:r>
        <w:rPr>
          <w:i/>
        </w:rPr>
        <w:t>9180 Ädellövskog i branter</w:t>
      </w:r>
      <w:r>
        <w:t>. Den har minskat kraftigt under de senaste åren och enligt artdatabankens preliminära bedömning kommer den att bli rödlistad som nära hotad (NT) i nästa rödlista som kommer 2026 (Nitare &amp; Skogsstyrelsen, 2019; SLU Artdatabanken, 2025).</w:t>
      </w:r>
    </w:p>
    <w:p>
      <w:pPr>
        <w:pStyle w:val="Heading1"/>
      </w:pPr>
      <w:r>
        <w:t>Fridlysta arter</w:t>
      </w:r>
    </w:p>
    <w:p>
      <w:r>
        <w:t>Följande fridlysta arter har sina livsmiljöer och växtplatser i den avverkningsanmälda skogen: spillkråka (NT, §4), nästrot (S, §8), sankt pers nycklar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