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16823-2024 i Gotlands kommun</w:t>
      </w:r>
    </w:p>
    <w:p>
      <w:r>
        <w:t>Detta dokument behandlar höga naturvärden i avverkningsanmälan A 16823-2024 i Gotlands kommun. Denna avverkningsanmälan inkom 2024-04-29 00:00:00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gulsparv (NT, §4), jordtistel (NT), flugblomster (S, §8), brudsporre (§8), johannesnycklar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6317928, E 694504 i SWEREF 99 TM.</w:t>
      </w:r>
    </w:p>
    <w:p>
      <w:pPr>
        <w:pStyle w:val="Heading1"/>
      </w:pPr>
      <w:r>
        <w:t>Fridlysta arter</w:t>
      </w:r>
    </w:p>
    <w:p>
      <w:r>
        <w:t>Följande fridlysta arter har sina livsmiljöer och växtplatser i den avverkningsanmälda skogen: gulsparv (NT, §4), flugblomster (S, §8), brudsporre (§8), johannesnycklar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