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ask (EN), sienamusseron (EN), gotlandsmåra (VU), granrotspindling (VU), läderdoftande fingersvamp (VU), mörkfjällig olivspindling (VU), narrspindling (VU), rostspindling (VU), svartgrön spindling (VU), violettfläckig spindling (VU), axveronika (NT), backtimjan (NT), barrviolspindling (NT), bittermusseron (NT), duvhök (NT, §4), flattoppad klubbsvamp (NT), jordtistel (NT), kungsspindling (NT), odörspindling (NT), svartfläckig blåvinge (NT, §4a), svinrot (NT), blomkålssvamp (S), fjällig taggsvamp s.str. (S), kalktallört (S), kryddspindling (S), olivspindling (S), rödfläckig zontaggsvamp (S), rökmusseron (S), skarp dropptaggsvamp (S), skogsknipprot (S, §8), strimspindling (S), svavelriska (S), tjockfotad 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Rostspindling (VU)</w:t>
      </w:r>
      <w:r>
        <w:t xml:space="preserve"> bildar mykorrhiza med gran, i äldre ängsgranskog på kalkrik och näringsrik, något fuktig mark. Den totala populationen i landet bedöms ha minskat och förväntas fortsätta minska på grund av slutavverkning av äldre barrskog och kontinuitetsskog. Arten hotas av intensivt skogsbruk, särskilt kalavverkning, markavvattning och markberedning. Rostspindlingens växtplatser bevaras bäst genom att skogsbruk undviks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