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4469235"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692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44 naturvårdsarter, varav 23 är rödlistade, 11 är fridlysta, 9 är typiska (T) och 15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olivspindling (S), purpurknipprot (S, §8), rödgul trumpetsvamp (S), skogsknipprot (S, T, §8), svavelriska (S), zontaggsvamp (S), blåsippa (T, §9), nattskärra (T, §4), spillkråka (T,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