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17975-2024 i Gotlands kommun</w:t>
      </w:r>
    </w:p>
    <w:p>
      <w:r>
        <w:t>Denna tillsynsbegäran behandlar höga naturvärden i avverkningsanmälan A 17975-2024 i Gotlands kommun som inkom 2024-05-07 och omfattar 7,9 ha.</w:t>
      </w:r>
    </w:p>
    <w:p>
      <w:pPr>
        <w:pStyle w:val="Caption"/>
      </w:pPr>
      <w:r>
        <w:drawing>
          <wp:inline xmlns:a="http://schemas.openxmlformats.org/drawingml/2006/main" xmlns:pic="http://schemas.openxmlformats.org/drawingml/2006/picture">
            <wp:extent cx="5486400" cy="5156791"/>
            <wp:docPr id="1" name="Picture 1"/>
            <wp:cNvGraphicFramePr>
              <a:graphicFrameLocks noChangeAspect="1"/>
            </wp:cNvGraphicFramePr>
            <a:graphic>
              <a:graphicData uri="http://schemas.openxmlformats.org/drawingml/2006/picture">
                <pic:pic>
                  <pic:nvPicPr>
                    <pic:cNvPr id="0" name="A 17975-2024 karta.png"/>
                    <pic:cNvPicPr/>
                  </pic:nvPicPr>
                  <pic:blipFill>
                    <a:blip r:embed="rId16"/>
                    <a:stretch>
                      <a:fillRect/>
                    </a:stretch>
                  </pic:blipFill>
                  <pic:spPr>
                    <a:xfrm>
                      <a:off x="0" y="0"/>
                      <a:ext cx="5486400" cy="5156791"/>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6372345, E 694482 i SWEREF 99 TM.</w:t>
      </w:r>
    </w:p>
    <w:p>
      <w:r>
        <w:t>I och inom 13 meter från avverkningsanmälan finns fynd av 3 naturvårdsarter, varav 2 är rödlistade, 1 är typisk (T) och 1 är signalart (S): ask (EN), skugglosta (NT) och strävlosta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Skugglosta (NT) </w:t>
      </w:r>
      <w:r>
        <w:t>är ett sällsynt och exklusivt lundgräs som framför allt växer i ädellövskog men ofta även i örtrik barrskog. Den finns på både väldränerade marker och i små översilningskärr. Arten är kalkgynnad och förekommer inte på mark med pH under 5,0. Arten är placerad högst upp i Skogsstyrelsens värdepyramid för bedömning av skog med höga naturvärden och på växtplatserna finns normalt många andra rödlistade och hotade arter (SLU Artdatabanken, 2024; Nitare &amp; Skogsstyrelsen, 2019).</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