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43201-2023 i Gotlands kommun</w:t>
      </w:r>
    </w:p>
    <w:p>
      <w:r>
        <w:t>Detta klagomål behandlar höga naturvärden i avverkningsanmälan A 43201-2023 i Gotlands kommun som inkom 2023-09-14 och omfattar 5,6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43201-2023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6401090, E 710523 i SWEREF 99 TM.</w:t>
      </w:r>
    </w:p>
    <w:p>
      <w:r>
        <w:t>I och inom 25 meter från avverkningsanmälan finns fynd av 15 naturvårdsarter, varav 9 är rödlistade, 7 är typiska (T) och 6 är signalarter (S): almlav (EN, T), mörk lundlav (EN), blek kraterlav (VU), mörk kraterlav (VU), ädellav (VU, T), hjälmbrosklav (NT), lunglav (NT, T), rosa skärelav (NT, T), skuggorangelav (NT), guldlockmossa (S, T), gulpudrad spiklav (S, T), lönnlav (S), rostfläck (S, T), slät lönnlav (S) och vitskivlav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Mörk lundlav (EN)</w:t>
      </w:r>
      <w:r>
        <w:t xml:space="preserve"> är en starkt hotad art som växer i gläntor i skogar och parker med lång trädkontinuitet på gamla ädellövträd, främst alm, ask och lönn. Det främsta hotet utgör skogsbruk och avverkning av gamla träd. Även almsjukan är ett hot. Skydda alla aktuella lokaler (SLU Artdatabanken, 2026).</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