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57463-2025 i Gotlands kommun</w:t>
      </w:r>
    </w:p>
    <w:p>
      <w:r>
        <w:t>Detta klagomål behandlar höga naturvärden i avverkningsanmälan A 57463-2025 i Gotlands kommun som inkom 2025-11-19 och omfattar 3,8 ha.</w:t>
      </w:r>
    </w:p>
    <w:p>
      <w:pPr>
        <w:pStyle w:val="Caption"/>
      </w:pPr>
      <w:r>
        <w:drawing>
          <wp:inline xmlns:a="http://schemas.openxmlformats.org/drawingml/2006/main" xmlns:pic="http://schemas.openxmlformats.org/drawingml/2006/picture">
            <wp:extent cx="5486400" cy="5126295"/>
            <wp:docPr id="1" name="Picture 1"/>
            <wp:cNvGraphicFramePr>
              <a:graphicFrameLocks noChangeAspect="1"/>
            </wp:cNvGraphicFramePr>
            <a:graphic>
              <a:graphicData uri="http://schemas.openxmlformats.org/drawingml/2006/picture">
                <pic:pic>
                  <pic:nvPicPr>
                    <pic:cNvPr id="0" name="A 57463-2025 karta.png"/>
                    <pic:cNvPicPr/>
                  </pic:nvPicPr>
                  <pic:blipFill>
                    <a:blip r:embed="rId16"/>
                    <a:stretch>
                      <a:fillRect/>
                    </a:stretch>
                  </pic:blipFill>
                  <pic:spPr>
                    <a:xfrm>
                      <a:off x="0" y="0"/>
                      <a:ext cx="5486400" cy="512629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6415723, E 738077 i SWEREF 99 TM.</w:t>
      </w:r>
    </w:p>
    <w:p>
      <w:r>
        <w:t>I och inom 25 meter från avverkningsanmälan finns fynd av 5 naturvårdsarter, varav 5 är rödlistade och 1 är typisk (T): bullspindling (VU), gulsträngad fagerspindling (VU), tvillingspindling (VU), blå slemspindling (NT, T) och odörspindling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Bullspindling (VU)</w:t>
      </w:r>
      <w:r>
        <w:t xml:space="preserve"> är en kräsen och mycket bra signalart för skyddsvärda äldre granskogar på kalkrik mark. Den är placerad högst upp i Skogsstyrelsens värdepyramid för bedömning av skog med höga naturvärden och skogsbruk, främst kalavverkning utgör ett stort hot mot arten. Artens minskningstakt uppgår till 30 % inom 50 år och överstiger gränsvärdet för Sårbar (VU) (SLU Artdatabanken, 2024; Nitare &amp; Skogsstyrelsen, 2019).</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Tvillingspindling (VU)</w:t>
      </w:r>
      <w:r>
        <w:t xml:space="preserve"> bildar mykorrhiza med gran och växer enbart i örtrika grandominerade kalkbarrskogar med kontinuitet och hög bonitet, miljöer som idag är starkt hotade av slutavverkningar. Tvillingspindlingen liksom en lång rad av dess följearter knutna till kalk- och örtrika barrblandskogar med lång kontinuitet är beroende av områdesskydd eller naturvårdsavtal som förhindrar slutavverkningar av dess växtmiljöer (SLU Artdatabanken, 2024).</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