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7038-2023 i Gotlands kommun</w:t>
      </w:r>
    </w:p>
    <w:p>
      <w:r>
        <w:t>Detta klagomål behandlar höga naturvärden i avverkningsanmälan A 7038-2023 i Gotlands kommun som inkom 2023-02-11 och omfattar 5,2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7038-2023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6363505, E 701373 i SWEREF 99 TM.</w:t>
      </w:r>
    </w:p>
    <w:p>
      <w:r>
        <w:t>I och inom 21 meter från avverkningsanmälan finns fynd av 8 naturvårdsarter, varav 6 är rödlistade, 1 är fridlyst, 4 är typiska (T) och 2 är signalarter (S): liten ädellav (EN, T), tät korallorangelav (VU), ädellav (VU, T), dårgräsfjäril (NT, §4a), blemlavsklotter (DD), frostig asplav (DD), guldlockmossa (S, T) och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Liten ädellav (EN) </w:t>
      </w:r>
      <w:r>
        <w:t xml:space="preserve">är en starkt hotad och mycket krävande lav som nästan enbart växer på gamla träd i bokskogar och annan ädellövskog med lång kontinuitet. Gallringsavverkningar av gamla grova eller senvuxna bokar är idag ett allvarligt hot. Arten är placerad högst upp i Skogsstyrelsens värdepyramid för bedömning av skog med höga naturvärden och gamla bokskogar där laven förekommer bör skyddas. Liten ädellav är typisk art för </w:t>
      </w:r>
      <w:r>
        <w:rPr>
          <w:i/>
        </w:rPr>
        <w:t xml:space="preserve">9110 Näringsfattig bokskog </w:t>
      </w:r>
      <w:r>
        <w:t>och</w:t>
      </w:r>
      <w:r>
        <w:rPr>
          <w:i/>
        </w:rPr>
        <w:t xml:space="preserve"> 9130 Näringsrik bokskog </w:t>
      </w:r>
      <w:r>
        <w:t>(SLU Artdatabanken, 2024; Nitare &amp; Skogsstyrelsen, 2019).</w:t>
      </w:r>
    </w:p>
    <w:p>
      <w:r>
        <w:rPr>
          <w:b/>
        </w:rPr>
        <w:t>Tät korallorangelav (VU)</w:t>
      </w:r>
      <w:r>
        <w:t xml:space="preserve"> växer i Skåne mest på ek, ask och alm i alléer, på kyrkogårdar och i hagmarker medan den i Halland och Bohuslän oftast växer på ek och bok i öppna gamla skogar. Aktuella förekomster bör skyddas, speciellt förekomster som inte växer på alm och ask. Igenväxning av halvöppna miljöer och mosaikartade landskap där arten förekommer bör undvikas genom upprätthållet bete eller annan hävd (SLU Artdatabanken, 2025).</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Blemlavsklotter (DD)</w:t>
      </w:r>
      <w:r>
        <w:t xml:space="preserve"> är en lavparasit som växer på den vanliga arten blemlav, men är avsevärt ovanligare än sin värd och enbart hittad i halvöppna lägen i områden med lång trädkontinuitet och hög luftfuktighet. Faktaunderlaget bedöms vara otillräckligt för att avgöra vilken av de olika rödlistningskategorierna som är mest trolig (SLU Artdatabanken, 2026).</w:t>
      </w:r>
    </w:p>
    <w:p>
      <w:r>
        <w:rPr>
          <w:b/>
        </w:rPr>
        <w:t>Frostig asplav (DD)</w:t>
      </w:r>
      <w:r>
        <w:t xml:space="preserve"> växer på slätbarkiga träd (ask och rönn) i öppna skogar med hög luftfuktighet. Askskottssjuka är ett allvarligt hot, men även dränering av och avverkning på artens lokaler utgör hot. Bara ett fåtal av lokalerna är skyddade. Lokaler med arten bör skyddas. Avverkning och dränering av lokaler bör undvikas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