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35141-2022 i Gotlands kommun</w:t>
      </w:r>
    </w:p>
    <w:p>
      <w:r>
        <w:t>Denna tillsynsbegäran behandlar höga naturvärden i avverkningsanmälan A 35141-2022 i Gotlands kommun som inkom 2022-08-24 och omfattar 1,8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5141-2022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6362477, E 723657 i SWEREF 99 TM.</w:t>
      </w:r>
    </w:p>
    <w:p>
      <w:r>
        <w:t>I och inom 21 meter från avverkningsanmälan finns fynd av 16 naturvårdsarter, varav 8 är rödlistade, 1 är fridlyst, 1 är typisk (T) och 8 är signalarter (S): dvärgfjällskivling (VU), granrotspindling (VU), svartgrön spindling (VU), violettfläckig spindling (VU), bittermusseron (NT), denisespindling (NT), flattoppad klubbsvamp (NT), odörspindling (NT), anisspindling (S), fransig jordstjärna (S), kambräken (S, T), nästrot (S, §8), olivspindling (S), rödgul trumpetsvamp (S), svavelriska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Dvärgfjällskivling (VU) </w:t>
      </w:r>
      <w:r>
        <w:t>är en nedbrytare i lövförna och andra växtrester i ädellövskog, hässlen, löväng och lund på kalkrik mark. Mycket sällsynt och total population i landet liten och bedöms ha minskat och fortsätta minska, framför allt p.g.a. igenväxning av halvöppna ädellövrika äldre fodermarker med mosaikstruktur. Även avverkning och körskador eller markberedning är konkreta hot på kända växtplatser (SLU Artdatabanken, 2024).</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