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66091-2021 i Gotlands kommun</w:t>
      </w:r>
    </w:p>
    <w:p>
      <w:r>
        <w:t>Denna tillsynsbegäran behandlar höga naturvärden i avverkningsanmälan A 66091-2021 i Gotlands kommun som inkom 2021-11-17 och omfattar 11,7 ha.</w:t>
      </w:r>
    </w:p>
    <w:p>
      <w:pPr>
        <w:pStyle w:val="Caption"/>
      </w:pPr>
      <w:r>
        <w:drawing>
          <wp:inline xmlns:a="http://schemas.openxmlformats.org/drawingml/2006/main" xmlns:pic="http://schemas.openxmlformats.org/drawingml/2006/picture">
            <wp:extent cx="5486400" cy="4915463"/>
            <wp:docPr id="1" name="Picture 1"/>
            <wp:cNvGraphicFramePr>
              <a:graphicFrameLocks noChangeAspect="1"/>
            </wp:cNvGraphicFramePr>
            <a:graphic>
              <a:graphicData uri="http://schemas.openxmlformats.org/drawingml/2006/picture">
                <pic:pic>
                  <pic:nvPicPr>
                    <pic:cNvPr id="0" name="A 66091-2021 karta.png"/>
                    <pic:cNvPicPr/>
                  </pic:nvPicPr>
                  <pic:blipFill>
                    <a:blip r:embed="rId16"/>
                    <a:stretch>
                      <a:fillRect/>
                    </a:stretch>
                  </pic:blipFill>
                  <pic:spPr>
                    <a:xfrm>
                      <a:off x="0" y="0"/>
                      <a:ext cx="5486400" cy="491546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6369275, E 728004 i SWEREF 99 TM.</w:t>
      </w:r>
    </w:p>
    <w:p>
      <w:r>
        <w:t>I avverkningsanmälan finns fynd av 10 naturvårdsarter, varav 6 är rödlistade, 5 är fridlysta, 4 är typiska (T) och 1 är signalart (S): pärluggla (EN, T, §4), axveronika (NT), göktyta (NT, §4), kattfotslav (NT, T), solvända (NT), säfferot (NT), havstulpanlav (S, T), nattskärra (T, §4), trädlärka (§4) och salepsrot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Pärluggla (EN, §4)</w:t>
      </w:r>
      <w:r>
        <w:t xml:space="preserve"> är en starkt hotad art som omfattas av bilaga 1 EU:s fågeldirektiv. Beståndet har gradvis minskat sedan början av 1980-talet och efter 2010 tyder data från Svensk Fågeltaxering på att beståndet i det närmaste helt kraschat. Minskningstakten har uppgått till 60 (40–80) % under de senaste 15 åren. Pärlugglan är beroende av äldre, varierad skog med goda jaktmöjligheter och god tillgång på lämpliga trädhål som boplatser. Hemområdet är i storleksordningen 200–500 hektar, men storleken varierar kraftigt beroende på hur mycket föda det finns. Undvik skogsbruksåtgärder som kan skada hänsynskrävande miljöer, som till exempel strand- och sumpskogar med naturskogskaraktär, äldre skog på uddar och öar, raviner, klyftor och blockmarker samt berg- och rasbranter, äldre hällmarksskog, äldre sandtallskogar, naturskogsrester, eller äldre trädbestånd med mycket hänglavar eller död ved. Pärluggla är typisk art för </w:t>
      </w:r>
      <w:r>
        <w:rPr>
          <w:i/>
        </w:rPr>
        <w:t>9010 Västlig taiga</w:t>
      </w:r>
      <w:r>
        <w:t xml:space="preserve"> (SLU Artdatabanken, 2026; Skogsstyrelsen, 2016).</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Havstulpanlav</w:t>
      </w:r>
      <w:r>
        <w:t xml:space="preserve"> är en mycket bra signalart som överallt indikerar skogsbestånd med höga naturvärden. Den växer främst på barken av lövträd i gamla, skuggiga och fuktiga skogsmiljöer, men förekommer relativt ofta även på äldre gran i sumpskog. Havstulpanlav är typisk art för </w:t>
      </w:r>
      <w:r>
        <w:rPr>
          <w:i/>
        </w:rPr>
        <w:t xml:space="preserve">9020 Nordlig ädellövskog, 9070 Trädklädd betesmark, 9110 Näringsfattig bokskog, 9130 Näringsrik bokskog, 9160 Näringsrik ekskog, 9180 Ädellövskog i branter </w:t>
      </w:r>
      <w:r>
        <w:t>och</w:t>
      </w:r>
      <w:r>
        <w:rPr>
          <w:i/>
        </w:rPr>
        <w:t xml:space="preserve"> 9190 Näringsfattig ekskog </w:t>
      </w:r>
      <w:r>
        <w:t>(Nitare &amp; Skogsstyrelsen, 2019; SLU Artdatabanken, 2025).</w:t>
      </w:r>
    </w:p>
    <w:p>
      <w:r>
        <w:rPr>
          <w:b/>
        </w:rPr>
        <w:t>Nattskärra (§4)</w:t>
      </w:r>
      <w:r>
        <w:t xml:space="preserve"> hör i ett historiskt perspektiv hemma i utmarkernas glesa, betade skogar, på ljunghedar och brandfält, tallmoar och i anslutning till torra naturbetesmarker i gränsen mot skogen. Numera påträffas arten i första hand i glesa tallskogar på hällmarker, sandfält och kring högmossar. Uppträder ofta i anslutning till hyggen. Hemområdet för häckande nattskärror är enligt brittiska studier 50–200 hektar, men det förekommer att nattskärror flyger över 5 kilometer för att födosöka i särskilt insektsrika miljöer. Nattskärra är fridlyst enligt 4§ artskyddsförordningen, omfattas av bilaga 1 EU:s fågeldirektiv och är typisk art för </w:t>
      </w:r>
      <w:r>
        <w:rPr>
          <w:i/>
        </w:rPr>
        <w:t>9010 Taiga</w:t>
      </w:r>
      <w:r>
        <w:t xml:space="preserve"> (Skogsstyrelsen, 2016;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Pärluggla – ekologi samt krav på livsmiljön</w:t>
      </w:r>
    </w:p>
    <w:p>
      <w:r>
        <w:t xml:space="preserve">Pärluggla (EN, §4) är en starkt hotad art som är typisk art för </w:t>
      </w:r>
      <w:r>
        <w:rPr>
          <w:i/>
        </w:rPr>
        <w:t>9010 Västlig taiga</w:t>
      </w:r>
      <w:r>
        <w:t xml:space="preserve"> och omfattas av bilaga 1 EU:s fågeldirektiv. Beståndet har gradvis minskat sedan början av 1980-talet och efter 2010 tyder data från Svensk Fågeltaxering på att beståndet i det närmaste helt kraschat. Minskningstakten har uppgått till 60 (40–80) % under de senaste 15 åren och överstiger gränsvärdet för starkt hotad (EN) (SLU Artdatabanken, 2026).</w:t>
      </w:r>
    </w:p>
    <w:p>
      <w:r>
        <w:t>Pärlugglan är beroende av äldre, varierad skog med goda jaktmöjligheter och god tillgång på lämpliga trädhål som boplatser. Den förekommer med störst täthet i äldre granskog, med inslag av gamla lövträd och luckor och öppningar i form av mindre hyggen, jordbruksmark och liknande. Den häckar även frekvent i barr- och lövblandskogar av tall, björk och asp, där förutsättningarna att finna boplatser är störst. I sydligaste Sverige häckar den ofta i gamla bokbackar, men den är mycket sällsynt i ren bokskog. Hemområdet är i storleksordningen 200–500 hektar, men storleken varierar kraftigt beroende på hur mycket föda det finns. Under dåliga gnagarår kan pärlugglan jaga upp till 4 km från boet medan den under bra år ofta håller sig inom 1 km (SLU Artdatabanken, 2026).</w:t>
      </w:r>
    </w:p>
    <w:p>
      <w:r>
        <w:t>Undvik skogsbruksåtgärder som kan skada hänsynskrävande miljöer, som till exempel strand- och sumpskogar med naturskogskaraktär, äldre skog på uddar och öar, raviner, klyftor och blockmarker samt berg- och rasbranter, äldre hällmarksskog, äldre sandtallskogar, naturskogsrester, eller äldre trädbestånd med mycket hänglavar eller död ved (Skogsstyrelsen, 2016).</w:t>
      </w:r>
    </w:p>
    <w:p>
      <w:pPr>
        <w:pStyle w:val="Heading2"/>
      </w:pPr>
      <w:r>
        <w:t>Referenser – pärluggla</w:t>
      </w:r>
    </w:p>
    <w:p>
      <w:r>
        <w:t xml:space="preserve">SLU Artdatabanken, 2026. </w:t>
      </w:r>
      <w:r>
        <w:rPr>
          <w:i/>
        </w:rPr>
        <w:t xml:space="preserve">Artfaktablad. Naturvård – artfakta. </w:t>
      </w:r>
      <w:r>
        <w:t>SLU Artdatabanken, Uppsala.</w:t>
      </w:r>
    </w:p>
    <w:p>
      <w:r>
        <w:t xml:space="preserve">Skogsstyrelsen, 2016. </w:t>
      </w:r>
      <w:r>
        <w:rPr>
          <w:i/>
        </w:rPr>
        <w:t>Vägledning för hänsyn till pärluggla.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