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922-2023 i Gotlands kommun</w:t>
      </w:r>
    </w:p>
    <w:p>
      <w:r>
        <w:t>Denna tillsynsbegäran behandlar höga naturvärden i avverkningsanmälan A 922-2023 i Gotlands kommun som inkom 2023-01-06 och omfattar 6,9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922-2023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6359029, E 702276 i SWEREF 99 TM.</w:t>
      </w:r>
    </w:p>
    <w:p>
      <w:r>
        <w:t>I och inom 25 meter från avverkningsanmälan finns fynd av 24 naturvårdsarter, varav 14 är rödlistade, 4 är fridlysta, 5 är typiska (T) och 8 är signalarter (S): bredbrämad bastardsvärmare (VU), granrotspindling (VU), gulsträngad fagerspindling (VU), läderdoftande fingersvamp (VU), svartgrön spindling (VU), tvillingspindling (VU), violettfläckig spindling (VU), barrviolspindling (NT), blå slemspindling (NT, T), dårgräsfjäril (NT, §4a), odörspindling (NT), svinrot (NT), tallticka (NT, T), äggspindling (NT), anisspindling (S), fransig jordstjärna (S), olivspindling (S), purpurknipprot (S, §8), rödbrun jordstjärna (S), rödgul trumpetsvamp (S), skogsknipprot (S, T, §8), svavelriska (S), ormbär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tallticka (NT, T), skogsknipprot (S, T, §8),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