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klagomål behandlar höga naturvärden i avverkningsanmälan A 32326-2024 i Gotlands kommun som inkom 2024-08-08 och omfattar 9,2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6384065, E 721474 i SWEREF 99 TM.</w:t>
      </w:r>
    </w:p>
    <w:p>
      <w:r>
        <w:t>I och inom 23 meter från avverkningsanmälan finns fynd av 10 naturvårdsarter, varav 6 är rödlistade, 4 är fridlysta, 2 är typiska (T) och 2 är signalarter (S): tallgångbagge (VU), backruta (NT), backtimjan (NT), jordtistel (NT), svinrot (NT), säfferot (NT), purpurknipprot (S, §8), skogsknipprot (S, T, §8), nattskärra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Skogsknipprot (§8)</w:t>
      </w:r>
      <w:r>
        <w:t xml:space="preserve"> är fridlyst enligt 8§ artskyddsförordningen och typisk art för </w:t>
      </w:r>
      <w:r>
        <w:rPr>
          <w:i/>
        </w:rPr>
        <w:t>9050 Näringsrik granskog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