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24202-2023 i Gotlands kommun</w:t>
      </w:r>
    </w:p>
    <w:p>
      <w:r>
        <w:t>Detta dokument behandlar höga naturvärden i avverkningsanmälan A 24202-2023 i Gotlands kommun. Denna avverkningsanmälan inkom 2023-06-02 och omfattar 2,5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15 naturvårdsarter hittats: grönfjällig fjällskivling (VU), gulsträngad fagerspindling (VU), läderdoftande fingersvamp (VU), odörspindling (NT), äggspindling (NT), anisspindling (S), bittervaxing (S), blå slemspindling (S), diskvaxskivling (S), kalktallört (S), kryddspindling (S), olivspindling (S), rödbrun jordstjärna (S), strimspindling (S) och svavelriska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2449"/>
            <wp:docPr id="1" name="Picture 1"/>
            <wp:cNvGraphicFramePr>
              <a:graphicFrameLocks noChangeAspect="1"/>
            </wp:cNvGraphicFramePr>
            <a:graphic>
              <a:graphicData uri="http://schemas.openxmlformats.org/drawingml/2006/picture">
                <pic:pic>
                  <pic:nvPicPr>
                    <pic:cNvPr id="0" name="A 24202-2023 karta.png"/>
                    <pic:cNvPicPr/>
                  </pic:nvPicPr>
                  <pic:blipFill>
                    <a:blip r:embed="rId16"/>
                    <a:stretch>
                      <a:fillRect/>
                    </a:stretch>
                  </pic:blipFill>
                  <pic:spPr>
                    <a:xfrm>
                      <a:off x="0" y="0"/>
                      <a:ext cx="5486400" cy="40624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6376406, E 688301 i SWEREF 99 TM.</w:t>
      </w:r>
    </w:p>
    <w:p>
      <w:r>
        <w:rPr>
          <w:b/>
        </w:rPr>
        <w:t xml:space="preserve">Grönfjällig fjällskivling (VU) </w:t>
      </w:r>
      <w:r>
        <w:t>är en mycket sällsynt förnasvamp som växer på näringsrika ställen i löv- eller blandskog. Den tycks föredra kalkrik mark. Söderut är den ofta funnen i bokskog. De fåtaliga växtplatserna måste alla säkerställas och arten bör eftersökas i liknande miljöer på andra håll. För att gynna arten fordras att fler lövskogar på kalkrik mark skyddas och brukas på ett för svampfloran ändamålsenligt sätt. Grönfjällig fjällskivling är placerad högst upp i Skogsstyrelsens värdepyramid för bedömning av skog med höga naturvärden (SLU Artdatabanken, 2024; Nitare &amp; Skogsstyrelsen, 2019).</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Rödbrun jordstjärna </w:t>
      </w:r>
      <w:r>
        <w:t>lever som nedbrytare i mer eller mindre basiska, ofta kalkrika jordar i tallskog, men även i askskog och blandskog. Artens växtplatser och närliggande skogsmiljö undantas från slutavverkning och genomgripande gallringar eller röjningar av enbuskar i vars barrmattor den lever (SLU Artdatabanken, 2024).</w:t>
      </w:r>
    </w:p>
    <w:p>
      <w:r>
        <w:rPr>
          <w:b/>
        </w:rPr>
        <w:t xml:space="preserve">Äggspindling (NT) </w:t>
      </w:r>
      <w:r>
        <w:t>bildar mykorrhiza med gran i äldre ängsgranskog på kalkrik mark och kräver sannolikt lång kontinuitet av äldre träd. Arten bedöms ha minskat med mer än 15 % över de senaste 50 åren, p.g.a. slutavverkning av äldre skog och minskningstakten för den svenska populationen bedöms vara nära gränsvärdet för Sårbar (VU). (A2c+3c+4c). På artens växtplatser måste skogsbruk ske med stor försiktighet eftersom de ofta innehåller ett stort antal sällsynta och hotade arter. Lokaler med rika förekomster bör betraktas som nyckelbiotoper och helt undantas från avverkning. Äggspindling är globalt rödlistad som nära hotad (NT) vilket innebär att Sverige har ett internationellt ansvar för arten (SLU Artdatabanken, 2024; Nitare &amp; Skogsstyrelsen, 2019; IUCN,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