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som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54 naturvårdsarter hittats: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471" cy="5688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9747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2"/>
      </w:pPr>
      <w:r>
        <w:t>Fridlysta arter</w:t>
      </w:r>
    </w:p>
    <w:p>
      <w:r>
        <w:t>Följande fridlysta arter har sina livsmiljöer och växtplatser i den avverkningsanmälda skogen: gulsparv (NT, §4), purpurknipprot (S, §8), skogsknipprot (S, T, §8), blåsippa (T, §9), grönsiska (§4), kråka (§4), skogsduva (§4), brudsporre (§8), grönvit nattviol (§8), johannesnycklar (§8), kärrknipprot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