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som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44 naturvårdsarter hittats: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1127" cy="5688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411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2"/>
      </w:pPr>
      <w:r>
        <w:t>Fridlysta arter</w:t>
      </w:r>
    </w:p>
    <w:p>
      <w:r>
        <w:t>Följande fridlysta arter har sina livsmiljöer och växtplatser i den avverkningsanmälda skogen: garderönn (VU, §7), dårgräsfjäril (NT, §4a), gulsparv (NT, §4), purpurknipprot (S, §8), skogsknipprot (S, T, §8), blåsippa (T, §9), nattskärra (T, §4), spillkråka (T, §4), kungsfågel (§4),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