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28287-2024 i Gotlands kommun</w:t>
      </w:r>
    </w:p>
    <w:p>
      <w:r>
        <w:t>Detta dokument behandlar höga naturvärden i avverkningsanmälan A 28287-2024 i Gotlands kommun. Denna avverkningsanmälan inkom 2024-07-04 00:00:00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ask (EN), axveronika (NT), backtimjan (NT), flentimotej (NT), gulsparv (NT, §4), jordtistel (NT), piggtistel (NT), silversmygare (NT), smedbock (NT), solvända (NT), vårstarr (NT) och blåsippa (§9).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9763"/>
            <wp:docPr id="1" name="Picture 1"/>
            <wp:cNvGraphicFramePr>
              <a:graphicFrameLocks noChangeAspect="1"/>
            </wp:cNvGraphicFramePr>
            <a:graphic>
              <a:graphicData uri="http://schemas.openxmlformats.org/drawingml/2006/picture">
                <pic:pic>
                  <pic:nvPicPr>
                    <pic:cNvPr id="0" name="A 28287-2024 karta.png"/>
                    <pic:cNvPicPr/>
                  </pic:nvPicPr>
                  <pic:blipFill>
                    <a:blip r:embed="rId16"/>
                    <a:stretch>
                      <a:fillRect/>
                    </a:stretch>
                  </pic:blipFill>
                  <pic:spPr>
                    <a:xfrm>
                      <a:off x="0" y="0"/>
                      <a:ext cx="5486400" cy="6599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6351572, E 715968 i SWEREF 99 TM.</w:t>
      </w:r>
    </w:p>
    <w:p>
      <w:r>
        <w:rPr>
          <w:b/>
        </w:rPr>
        <w:t xml:space="preserve">Smedbock (NT) </w:t>
      </w:r>
      <w:r>
        <w:t>är en skalbagge vars larvutveckling sker i solexponerad död ved av grövre dimensioner i torrträd, stubbar och lågor av barrträd, främst tall, undantagsvis gran. Flyghålen är upp till 15 mm breda med ojämn form och fransiga kanter. Fullbildade individer påträffas främst juli-augusti på lämplig ved, de är främst skymnings- och nattaktiva och dras till ljus. Arten hotas främst av slutavverkning av äldre tallskogar, men även av alltmer slutna och skuggiga skogsmiljöer till följd av igenväxning. Den viktigaste åtgärden är att bibehålla eller skapa glesa tallskogsmiljöer med gott om grov tallved. Inom brukad skog är det viktigt att lämna mer grov tallved, exempelvis i form av högstubbar, torrträd och lågor. Inom skyddade skogar är det gynnsamt med naturvårdsbränningar (SLU Artdatabanken, 2025).</w:t>
      </w:r>
    </w:p>
    <w:p>
      <w:pPr>
        <w:pStyle w:val="Heading1"/>
      </w:pPr>
      <w:r>
        <w:t>Fridlysta arter</w:t>
      </w:r>
    </w:p>
    <w:p>
      <w:r>
        <w:t>Följande fridlysta arter har sina livsmiljöer och växtplatser i den avverkningsanmälda skogen: gulsparv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