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25779-2022 i Gotlands kommun</w:t>
      </w:r>
    </w:p>
    <w:p>
      <w:r>
        <w:t>Detta klagomål behandlar höga naturvärden i avverkningsanmälan A 25779-2022 i Gotlands kommun som inkom 2022-06-21 och omfattar 12,6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25779-2022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6378873, E 724655 i SWEREF 99 TM.</w:t>
      </w:r>
    </w:p>
    <w:p>
      <w:r>
        <w:t>I och inom 15 meter från avverkningsanmälan finns fynd av 16 naturvårdsarter, varav 8 är rödlistade, 4 är fridlysta, 4 är typiska (T) och 8 är signalarter (S): ruttaggsvamp (EN), duvspindling (VU), knärot (VU, T, §8), blå slemspindling (NT, T), flattoppad klubbsvamp (NT), jordtistel (NT), odörspindling (NT), solvända (NT), nästrot (S, §8), rödgul trumpetsvamp (S), skogsknipprot (S, T, §8), strimspindling (S), strävlosta (S, T), svavelriska (S), vit skogslilja (S, §8)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Ruttaggsvamp (EN) </w:t>
      </w:r>
      <w:r>
        <w:t>är en sällsynt och starkt hotad mykorrhizasvamp knuten till tall på kalkrik mark. Arten är placerad högst upp i Skogsstyrelsens värdepyramid för bedömning av skog med höga naturvärden och tål inte en slutavverkning utan kräver ett kontinuerligt trädskikt med tall. Skogsområden med arten bör skyddas och undantas rationellt skogsbruk. Slutavverkning, kraftig gallring och skogsmarksgödsling måste helt undvikas. Ruttaggsvamp är globalt rödlistad som sårbar (VU) vilket innebär att Sverige har ett internationellt ansvar för arten (IUCN, 2025; SLU Artdatabanken, 2026;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6084385"/>
            <wp:docPr id="2" name="Picture 2"/>
            <wp:cNvGraphicFramePr>
              <a:graphicFrameLocks noChangeAspect="1"/>
            </wp:cNvGraphicFramePr>
            <a:graphic>
              <a:graphicData uri="http://schemas.openxmlformats.org/drawingml/2006/picture">
                <pic:pic>
                  <pic:nvPicPr>
                    <pic:cNvPr id="0" name="A 25779-2022 karta knärot.png"/>
                    <pic:cNvPicPr/>
                  </pic:nvPicPr>
                  <pic:blipFill>
                    <a:blip r:embed="rId17"/>
                    <a:stretch>
                      <a:fillRect/>
                    </a:stretch>
                  </pic:blipFill>
                  <pic:spPr>
                    <a:xfrm>
                      <a:off x="0" y="0"/>
                      <a:ext cx="5486400" cy="60843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6378873, E 724655 i SWEREF 99 TM.</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