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33728-2025 i Gotlands kommun</w:t>
      </w:r>
    </w:p>
    <w:p>
      <w:r>
        <w:t>Detta klagomål behandlar höga naturvärden i avverkningsanmälan A 33728-2025 i Gotlands kommun som inkom 2025-07-04 och omfattar 9,5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3728-2025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6396776, E 705397 i SWEREF 99 TM.</w:t>
      </w:r>
    </w:p>
    <w:p>
      <w:r>
        <w:t>I och inom 25 meter från avverkningsanmälan finns fynd av 37 naturvårdsarter, varav 28 är rödlistade, 5 är fridlysta, 3 är typiska (T) och 8 är signalarter (S): ask (EN), sienamusseron (EN), gotlandsmåra (VU), gotländsk haverrot (VU, §8), granrotspindling (VU), läderdoftande fingersvamp (VU), mörkfjällig olivspindling (VU), narrspindling (VU), rostspindling (VU), svartfläckig blåvinge (VU, §4a), svartgrön spindling (VU), violettfläckig spindling (VU), axveronika (NT), backtimjan (NT), barrviolspindling (NT), bittermusseron (NT), duvhök (NT, §4), fjällig taggsvamp s.str. (NT), flattoppad klubbsvamp (NT), jordtistel (NT), kryddspindling (NT, T), kungsspindling (NT), odörspindling (NT), rödfläckig zontaggsvamp (NT), skarp dropptaggsvamp (NT), solvända (NT), svinrot (NT), tjockfotad fingersvamp (NT), blomkålssvamp (S), kalktallört (S), olivspindling (S), rökmusseron (S), skogsknipprot (S, T, §8), strimspindling (S), svavelriska (S), trådticka (S,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Rostspindling (VU)</w:t>
      </w:r>
      <w:r>
        <w:t xml:space="preserve"> bildar mykorrhiza med gran, i äldre ängsgranskog på kalkrik och näringsrik, något fuktig mark. Den totala populationen i landet bedöms ha minskat och förväntas fortsätta minska på grund av slutavverkning av äldre barrskog och kontinuitetsskog. Arten hotas av intensivt skogsbruk, särskilt kalavverkning, markavvattning och markberedning. Rostspindlingens växtplatser bevaras bäst genom att skogsbruk undviks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