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45536-2025 i Gotlands kommun</w:t>
      </w:r>
    </w:p>
    <w:p>
      <w:r>
        <w:t>Denna tillsynsbegäran behandlar höga naturvärden i avverkningsanmälan A 45536-2025 i Gotlands kommun som inkom 2025-09-22 och omfattar 10,4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45536-2025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6373990, E 719213 i SWEREF 99 TM.</w:t>
      </w:r>
    </w:p>
    <w:p>
      <w:r>
        <w:t>I och inom 9 meter från avverkningsanmälan finns fynd av 29 naturvårdsarter, varav 21 är rödlistade, 3 är fridlysta, 7 är typiska (T) och 6 är signalarter (S): slät taggsvamp (EN), sotbandad spindling (EN), granrotspindling (VU), gulsträngad fagerspindling (VU), läderdoftande fingersvamp (VU), narrspindling (VU), stor granspindling (VU), svartgrön spindling (VU), violettfläckig spindling (VU), violettrandad spindling (VU), backtimjan (NT), blå slemspindling (NT, T), fjällig taggsvamp s.str. (NT), kattfotslav (NT, T), kryddspindling (NT, T), mindre tåtelsmygare (NT), odörspindling (NT), skarp dropptaggsvamp (NT), sårläka (NT, T), tjockfotad fingersvamp (NT), grynspindling (DD), anisspindling (S), blåmossa (S, T), fransig jordstjärna (S), mindre märgborre (S, T), nästrot (S, §8), olivspindling (S), spillkråka (T, §4)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Slät taggsvamp (EN) </w:t>
      </w:r>
      <w:r>
        <w:t>är en starkt hotad ”toppart” knuten till gammal tall på kalkrik mark. Den ingår i ett åtgärdsprogram för hotade arter (ÅGP) och är placerad högst upp i Skogsstyrelsens värdepyramid för bedömning av skog med höga naturvärden. Den totala populationen i landet är liten och bedöms ha minskat kraftigt, huvudsakligen p.g.a. slutavverkning av äldre kalkbarrskogar. Slät taggsvamp är globalt rödlistad som nära hotad (NT) vilket innebär att Sverige har ett internationellt ansvar för arten (SLU Artdatabanken, 2024; Nitare &amp; Skogsstyrelsen, 2019; IUCN, 2019).</w:t>
      </w:r>
    </w:p>
    <w:p>
      <w:r>
        <w:rPr>
          <w:b/>
        </w:rPr>
        <w:t>Sotbandad spindling (EN)</w:t>
      </w:r>
      <w:r>
        <w:t xml:space="preserve"> är en starkt hotad art som bildar mykorrhiza med gran, möjligen även med tall, i äldre örtrik barrskog, gärna grandominerad kalkbarrskog på torr till frisk mark. Arten är placerad högst upp i Skogsstyrelsens värdepyramid för bedömning av skog med höga naturvärden och tål inte kalavverkning eller andra mer radikala ingrepp i växtplatsernas miljö. Kända växtplatser bör tills vidare undantas från skogsbruk (SLU Artdatabanken, 2026;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Stor granspindling (VU)</w:t>
      </w:r>
      <w:r>
        <w:t xml:space="preserve"> bildar mykorrhiza med gran, eventuellt även med tall, i ängsgranskog och barrblandskog på kalkrik mark. Växer huvudsakligen i äldre skogsbestånd bland örter eller i djup mossa. Arten påverkas negativt av brist på kontinuitetsskog och den totala populationen i landet bedöms fortgående minska p.g.a. slutavverkningar av äldre kalkbarrskog och försämrad habitatkvalitet (SLU Artdatabanken, 2026).</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Grynspindling (DD)</w:t>
      </w:r>
      <w:r>
        <w:t xml:space="preserve"> bildar mykorrhiza med tall, huvudsakligen i mossig barrskog. Uppmärksammad art men fyndrapporterna är fortfarande få. Ett tiotal lokaler från Östergötland i söder till Jämtland i norr är kända. Arten påverkas negativt av brist på kontinuitetsskog. Faktaunderlaget bedöms vara otillräckligt för att avgöra vilken av de olika rödlistningskategorierna som är mest trolig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kattfotslav (NT, T), kryddspindling (NT, T), sårläka (NT, T), blåmossa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