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7039-2023 i Gotlands kommun</w:t>
      </w:r>
    </w:p>
    <w:p>
      <w:r>
        <w:t>Denna tillsynsbegäran behandlar höga naturvärden i avverkningsanmälan A 7039-2023 i Gotlands kommun som inkom 2023-02-11 och omfattar 2,9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7039-2023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6363399, E 700929 i SWEREF 99 TM.</w:t>
      </w:r>
    </w:p>
    <w:p>
      <w:r>
        <w:t>I och inom 10 meter från avverkningsanmälan finns fynd av 9 naturvårdsarter, varav 6 är rödlistade, 1 är fridlyst, 4 är typiska (T) och 3 är signalarter (S): stor blanklav (CR), mörk kraterlav (VU), ädellav (VU, T), dårgräsfjäril (NT, §4a), svinrot (NT), frostig asplav (DD), havstulpanlav (S, T), klippfrullania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 blanklav (CR)</w:t>
      </w:r>
      <w:r>
        <w:t xml:space="preserve"> är en akut hotad som i Sverige enbart växer på askbark i halvöppna lövskogar och främst förekommer den på halvgamla träd. Lokalerna är mycket artrika med ett flertal andra rödlistade lavar på ädellövträd. Eftersom arten enbart förekommer på ask i Sverige är askskottssjuka det största hotet. Då arten förekommer i halvöppna miljöer är även igenväxning av skogar och brynmiljöer med ask ett hot. Den främsta åtgärden är att ta fram åtgärder som bevarar och utvecklar populationer av ask, eller trädslag med likartad barkstruktur (SLU Artdatabanken, 2025).</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