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29 naturvårdsarter, varav 20 är rödlistade, 4 är fridlysta, 5 är typiska (T) och 6 är signalarter (S): blårödling (VU), duvspindling (VU), garderönn (VU, §7), granrotspindling (VU), gulsträngad fagerspindling (VU), svartgrön spindling (VU), violettfläckig spindling (VU), backtimjan (NT), barrviolspindling (NT), blå slemspindling (NT, T), denisespindling (NT), dårgräsfjäril (NT, §4a), flattoppad klubbsvamp (NT), jungfrulin (NT), kryddspindling (NT, T), odörspindling (NT), sandkremla (NT), solvända (NT), vippärt (NT, T), äggspindling (NT), anisspindling (S), fransig jordstjärna (S), olivspindling (S), rödgul trumpetsvamp (S), svavelriska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