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11176-2024 i Gotlands kommun</w:t>
      </w:r>
    </w:p>
    <w:p>
      <w:r>
        <w:t>Denna tillsynsbegäran behandlar höga naturvärden i avverkningsanmälan A 11176-2024 i Gotlands kommun som inkom 2024-03-20 och omfattar 1,7 ha.</w:t>
      </w:r>
    </w:p>
    <w:p>
      <w:pPr>
        <w:pStyle w:val="Caption"/>
      </w:pPr>
      <w:r>
        <w:drawing>
          <wp:inline xmlns:a="http://schemas.openxmlformats.org/drawingml/2006/main" xmlns:pic="http://schemas.openxmlformats.org/drawingml/2006/picture">
            <wp:extent cx="5486400" cy="5361123"/>
            <wp:docPr id="1" name="Picture 1"/>
            <wp:cNvGraphicFramePr>
              <a:graphicFrameLocks noChangeAspect="1"/>
            </wp:cNvGraphicFramePr>
            <a:graphic>
              <a:graphicData uri="http://schemas.openxmlformats.org/drawingml/2006/picture">
                <pic:pic>
                  <pic:nvPicPr>
                    <pic:cNvPr id="0" name="A 11176-2024 karta.png"/>
                    <pic:cNvPicPr/>
                  </pic:nvPicPr>
                  <pic:blipFill>
                    <a:blip r:embed="rId16"/>
                    <a:stretch>
                      <a:fillRect/>
                    </a:stretch>
                  </pic:blipFill>
                  <pic:spPr>
                    <a:xfrm>
                      <a:off x="0" y="0"/>
                      <a:ext cx="5486400" cy="536112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6367568, E 726813 i SWEREF 99 TM.</w:t>
      </w:r>
    </w:p>
    <w:p>
      <w:r>
        <w:t>I och inom 24 meter från avverkningsanmälan finns fynd av 14 naturvårdsarter, varav 10 är rödlistade, 1 är typisk (T) och 4 är signalarter (S): granrotspindling (VU), gul lammticka (VU), gulsträngad fagerspindling (VU), svartgrön spindling (VU), tvillingspindling (VU), violettfläckig spindling (VU), vit taggsvamp (VU), bittermusseron (NT), blå slemspindling (NT, T), odörspindling (NT), anisspindling (S), olivspindling (S), rödbrun jordstjärna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Bittermusseron (NT)</w:t>
      </w:r>
      <w:r>
        <w:t xml:space="preserve"> är en kalkgynnad och värmeälskande förnasvamp som påträffas i äldre kalkbarrskogar, gärna på relativt torr mark. Virkesrika, äldre barrskogar med hög bonitet, på bättre jordar är en bristvara i befintliga, skyddade områden i Sverige. Därför måste fler örtrika barrskogar, särskilt de med trädkontinuitet, skyddas i större utsträckning än vad som tidigare gjorts. Uttag av skog ska helst göras genom plockhuggning, blädning eller andra alternativa, skonsamma avverkningsformer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