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20833-2024 i Gotlands kommun</w:t>
      </w:r>
    </w:p>
    <w:p>
      <w:r>
        <w:t>Denna tillsynsbegäran behandlar höga naturvärden i avverkningsanmälan A 20833-2024 i Gotlands kommun som inkom 2024-05-27 och omfattar 0,9 ha.</w:t>
      </w:r>
    </w:p>
    <w:p>
      <w:pPr>
        <w:pStyle w:val="Caption"/>
      </w:pPr>
      <w:r>
        <w:drawing>
          <wp:inline xmlns:a="http://schemas.openxmlformats.org/drawingml/2006/main" xmlns:pic="http://schemas.openxmlformats.org/drawingml/2006/picture">
            <wp:extent cx="5486400" cy="4362138"/>
            <wp:docPr id="1" name="Picture 1"/>
            <wp:cNvGraphicFramePr>
              <a:graphicFrameLocks noChangeAspect="1"/>
            </wp:cNvGraphicFramePr>
            <a:graphic>
              <a:graphicData uri="http://schemas.openxmlformats.org/drawingml/2006/picture">
                <pic:pic>
                  <pic:nvPicPr>
                    <pic:cNvPr id="0" name="A 20833-2024 karta.png"/>
                    <pic:cNvPicPr/>
                  </pic:nvPicPr>
                  <pic:blipFill>
                    <a:blip r:embed="rId16"/>
                    <a:stretch>
                      <a:fillRect/>
                    </a:stretch>
                  </pic:blipFill>
                  <pic:spPr>
                    <a:xfrm>
                      <a:off x="0" y="0"/>
                      <a:ext cx="5486400" cy="436213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6369230, E 720366 i SWEREF 99 TM.</w:t>
      </w:r>
    </w:p>
    <w:p>
      <w:r>
        <w:t>I och inom 23 meter från avverkningsanmälan finns fynd av 9 naturvårdsarter, varav 6 är rödlistade, 5 är fridlysta, 2 är typiska (T) och 2 är signalarter (S): svartfläckig blåvinge (VU, §4a), backtimjan (NT), dårgräsfjäril (NT, §4a), jordtistel (NT), solvända (NT), svinrot (NT), skogsknipprot (S, T, §8), tvåblad (S,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