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32 naturvårdsarter, varav 15 är rödlistade, 8 är fridlysta, 12 är typiska (T) och 10 är signalarter (S): cinnoberfläck (CR), Coniocarpon fallax (CR), ask (EN), lundalm (EN), aspfjädermossa (VU, T), gulsträngad fagerspindling (VU), mörk kraterlav (VU), tvådoftspindling (VU), ädellav (VU, T), fjällig taggsvamp s.str. (NT), kattfotslav (NT, T), odörspindling (NT), svinrot (NT), sårläka (NT, T), vårärt (NT, T), anisspindling (S), havstulpanlav (S, T), korallblylav (S, T), murgröna (S, T), Pluteus cyanopus (S), rikfruktig blemlav (S), skogsknipprot (S, T, §8), svavelriska (S),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