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33 naturvårdsarter, varav 16 är rödlistade, 7 är fridlysta, 7 är typiska (T) och 12 är signalarter (S): ask (EN), bullspindling (VU), gulsträngad fagerspindling (VU), trollspindling (VU), axveronika (NT), backtimjan (NT), blå slemspindling (NT, T), fjällig taggsvamp s.str. (NT), flattoppad klubbsvamp (NT), jordtistel (NT), majviva (NT), odörspindling (NT), solvända (NT), svinrot (NT), säfferot (NT), sårläka (NT, T), anisspindling (S), axag (S), blåmossa (S, T), kalktallört (S), kantarellvaxing (S), nästrot (S, §8), olivspindling (S), purpurknipprot (S, §8), skogsknipprot (S, T, §8), strimspindling (S), strävlosta (S, T), svavelriska (S),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