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40235-2025 i Gotlands kommun</w:t>
      </w:r>
    </w:p>
    <w:p>
      <w:r>
        <w:t>Detta klagomål behandlar höga naturvärden i avverkningsanmälan A 40235-2025 i Gotlands kommun som inkom 2025-08-25 och omfattar 10,6 ha.</w:t>
      </w:r>
    </w:p>
    <w:p>
      <w:pPr>
        <w:pStyle w:val="Caption"/>
      </w:pPr>
      <w:r>
        <w:drawing>
          <wp:inline xmlns:a="http://schemas.openxmlformats.org/drawingml/2006/main" xmlns:pic="http://schemas.openxmlformats.org/drawingml/2006/picture">
            <wp:extent cx="4793335" cy="5724000"/>
            <wp:docPr id="1" name="Picture 1"/>
            <wp:cNvGraphicFramePr>
              <a:graphicFrameLocks noChangeAspect="1"/>
            </wp:cNvGraphicFramePr>
            <a:graphic>
              <a:graphicData uri="http://schemas.openxmlformats.org/drawingml/2006/picture">
                <pic:pic>
                  <pic:nvPicPr>
                    <pic:cNvPr id="0" name="A 40235-2025 karta.png"/>
                    <pic:cNvPicPr/>
                  </pic:nvPicPr>
                  <pic:blipFill>
                    <a:blip r:embed="rId16"/>
                    <a:stretch>
                      <a:fillRect/>
                    </a:stretch>
                  </pic:blipFill>
                  <pic:spPr>
                    <a:xfrm>
                      <a:off x="0" y="0"/>
                      <a:ext cx="479333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6384296, E 723767 i SWEREF 99 TM.</w:t>
      </w:r>
    </w:p>
    <w:p>
      <w:r>
        <w:t>I och inom 24 meter från avverkningsanmälan finns fynd av 33 naturvårdsarter, varav 17 är rödlistade, 11 är fridlysta, 4 är typiska (T) och 8 är signalarter (S): bullspindling (VU), duvspindling (VU), gulsträngad fagerspindling (VU), läderdoftande fingersvamp (VU), svartgrön spindling (VU), ängsblåvinge (VU), backtimjan (NT), blå slemspindling (NT, T), blå taggsvamp (NT, T), denisespindling (NT), dropptaggsvamp (NT, T), dårgräsfjäril (NT, §4a), flattoppad klubbsvamp (NT), jordtistel (NT), loppstarr (NT), odörspindling (NT), rödfläckig zontaggsvamp (NT), besk kastanjemusseron (S), kalktallört (S), kärrlilja (S), mindre märgborre (S, T), olivspindling (S), purpurknipprot (S, §8), toppvaxing (S), tvåblad (S, §8), brudsporre (§8), dubbelnycklar (§8), fläcknycklar (§8), grönvit nattviol (§8), kärrknipprot (§8), nattviol (§8), salepsrot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