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28 naturvårdsarter, varav 19 är rödlistade, 4 är fridlysta, 5 är typiska (T) och 6 är signalarter (S): blårödling (VU), garderönn (VU, §7), granrotspindling (VU), gulsträngad fagerspindling (VU), svartgrön spindling (VU), violettfläckig spindling (VU), backtimjan (NT), barrviolspindling (NT), blå slemspindling (NT, T), denisespindling (NT), dårgräsfjäril (NT, §4a), flattoppad klubbsvamp (NT), jungfrulin (NT), kryddspindling (NT, T), odörspindling (NT), sandkremla (NT), solvända (NT), vippärt (NT, T), äggspindling (NT), anisspindling (S), fransig jordstjärna (S), olivspindling (S), rödgul trumpetsvamp (S), svavelriska (S), vågbandad barkbock (S), getrams (T),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vippärt (NT, T), getrams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