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12841-2020 i Gotlands kommun</w:t>
      </w:r>
    </w:p>
    <w:p>
      <w:r>
        <w:t>Detta dokument behandlar höga naturvärden i avverkningsanmälan A 12841-2020 i Gotlands kommun. Denna avverkningsanmälan inkom 2020-03-09 och omfattar 6,4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13 naturvårdsarter hittats: bullspindling (VU), duvspindling (VU), granrotsspindling (VU), kopparspindling (VU), svartgrön spindling (VU), vit taggsvamp (VU), odörspindling (NT), orange taggsvamp (NT), röd skogslilja (NT, §8), dropptaggsvamp (S), rödbrun jordstjärna (S), skarp dropptaggsvamp (S) och zontaggsvamp (S).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35146"/>
            <wp:docPr id="1" name="Picture 1"/>
            <wp:cNvGraphicFramePr>
              <a:graphicFrameLocks noChangeAspect="1"/>
            </wp:cNvGraphicFramePr>
            <a:graphic>
              <a:graphicData uri="http://schemas.openxmlformats.org/drawingml/2006/picture">
                <pic:pic>
                  <pic:nvPicPr>
                    <pic:cNvPr id="0" name="A 12841-2020 karta.png"/>
                    <pic:cNvPicPr/>
                  </pic:nvPicPr>
                  <pic:blipFill>
                    <a:blip r:embed="rId16"/>
                    <a:stretch>
                      <a:fillRect/>
                    </a:stretch>
                  </pic:blipFill>
                  <pic:spPr>
                    <a:xfrm>
                      <a:off x="0" y="0"/>
                      <a:ext cx="5486400" cy="41351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6391305, E 726025 i SWEREF 99 TM.</w:t>
      </w:r>
    </w:p>
    <w:p>
      <w:r>
        <w:rPr>
          <w:b/>
        </w:rPr>
        <w:t>Bullspindling (VU)</w:t>
      </w:r>
      <w:r>
        <w:t xml:space="preserve"> är en kräsen och mycket bra signalart för skyddsvärda äldre granskogar på kalkrik mark. Den är placerad högst upp i Skogsstyrelsens värdepyramid för bedömning av skog med höga naturvärden och skogsbruk, främst kalavverkning utgör ett stort hot mot arten. Artens minskningstakt uppgår till 30 % inom 50 år och överstiger gränsvärdet för Sårbar (VU) (SLU Artdatabanken, 2024; Nitare &amp; Skogsstyrelsen, 2019).</w:t>
      </w:r>
    </w:p>
    <w:p>
      <w:r>
        <w:rPr>
          <w:b/>
        </w:rPr>
        <w:t>Duvspindling (VU)</w:t>
      </w:r>
      <w:r>
        <w:t xml:space="preserve"> bildar mykorrhiza med tall och förmodligen även gran i torr, kalkrik barrskog. Arten är placerad högst upp i Skogsstyrelsens värdepyramid för bedömning av skog med höga naturvärden och utgör en mycket bra indikator på skyddsvärd kalktallskog av sydöstlig typ. Kalavverkning, markberedning och markavvattning utgör de främsta hoten (SLU Artdatabanken, 2024; Nitare &amp; Skogsstyrelsen, 2019).</w:t>
      </w:r>
    </w:p>
    <w:p>
      <w:r>
        <w:rPr>
          <w:b/>
        </w:rPr>
        <w:t xml:space="preserve">Granrotsspindling (VU) </w:t>
      </w:r>
      <w:r>
        <w:t>bildar mykorrhiza med gran. Växer i djup barrförna, gärna i gamla myrstackar, i medelålders till äldre ängsgranskog på kalkrik mark.</w:t>
      </w:r>
      <w:r>
        <w:rPr>
          <w:b/>
        </w:rPr>
        <w:t xml:space="preserve"> </w:t>
      </w:r>
      <w:r>
        <w:t>Minskningstakten uppgår till 30 % inom 50 år och överstiger gränsvärdet för Sårbar (VU) enligt A-kriteriet. (A2c+3c+4c). Arten missgynnas av avverkning och markberedning. Generellt bör lokaler som är särskilt rika på förekomster av sällsynta svampar säkerställas och lämnas för fri utveckling (SLU Artdatabanken, 2024).</w:t>
      </w:r>
    </w:p>
    <w:p>
      <w:r>
        <w:rPr>
          <w:b/>
        </w:rPr>
        <w:t xml:space="preserve">Kopparspindling (VU) </w:t>
      </w:r>
      <w:r>
        <w:t>bildar mykorrhiza med tall och gran i äldre ängsgranskog på kalkrik mark, mer sällan i ren kalktallskog.</w:t>
      </w:r>
      <w:r>
        <w:rPr>
          <w:b/>
        </w:rPr>
        <w:t xml:space="preserve"> </w:t>
      </w:r>
      <w:r>
        <w:t>Minskningstakten uppgår till 30 % inom 50 år och överstiger gränsvärdet för Sårbar (VU) enligt A-kriteriet. (A2c+3c+4c).</w:t>
      </w:r>
      <w:r>
        <w:rPr>
          <w:b/>
        </w:rPr>
        <w:t xml:space="preserve"> </w:t>
      </w:r>
      <w:r>
        <w:t>Intensivt skogsbruk, särskilt kalavverkning och markberedning missgynnar arten och lokaler som även hyser ett stort antal andra hotade arter bör helt undantas från skogsbruk.</w:t>
      </w:r>
      <w:r>
        <w:rPr>
          <w:b/>
        </w:rPr>
        <w:t xml:space="preserve"> </w:t>
      </w:r>
      <w:r>
        <w:t>Kopparspindling är globalt rödlistad som nära hotad (NT) vilket innebär att Sverige har ett internationellt ansvar för arten (SLU Artdatabanken, 2024; IUCN, 2015).</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r>
        <w:rPr>
          <w:b/>
        </w:rPr>
        <w:t xml:space="preserve">Rödbrun jordstjärna </w:t>
      </w:r>
      <w:r>
        <w:t>lever som nedbrytare i mer eller mindre basiska, ofta kalkrika jordar i tallskog, men även i askskog och blandskog. Artens växtplatser och närliggande skogsmiljö undantas från slutavverkning och genomgripande gallringar eller röjningar av enbuskar i vars barrmattor den lever (SLU Artdatabanken, 2024).</w:t>
      </w:r>
    </w:p>
    <w:p>
      <w:r>
        <w:rPr>
          <w:b/>
        </w:rPr>
        <w:t>Svartgrön spindling (VU)</w:t>
      </w:r>
      <w:r>
        <w:t>, som bildar mykorrhiza med gran och tall i ängsgranskog och barrblandskog på kalkrik mark, har i Sverige sin huvudsakliga utbredning på Gotland. Arten är placerad högst upp i Skogsstyrelsens värdepyramid för bedömning av skog med höga naturvärden och den missgynnas av intensivt skogsbruk och kalavverkningar. Svartgrön spindling är globalt rödlistad som nära hotad (NT) vilket innebär att Sverige har ett internationellt ansvar för arten (SLU Artdatabanken, 2024; Nitare &amp; Skogsstyrelsen, 2019; IUCN, 2019).</w:t>
      </w:r>
    </w:p>
    <w:p>
      <w:r>
        <w:rPr>
          <w:b/>
        </w:rPr>
        <w:t xml:space="preserve">Vit taggsvamp (VU) </w:t>
      </w:r>
      <w:r>
        <w:t>bildar mykorrhiza med gran och tall i äldre ängsgranskog och hällmarksbarrskog på kalkrik mark. Kända aktuella lokaler finns endast på Gotland. Det främsta hotet mot arten är avverkning av dess värdträd gran och tall och kända lokaler bör undantas från avverkning för att säkra att dessa hålls intakta (SLU Artdatabanken, 2024).</w:t>
      </w:r>
    </w:p>
    <w:p>
      <w:pPr>
        <w:pStyle w:val="Heading1"/>
      </w:pPr>
      <w:r>
        <w:t>Fridlysta arter</w:t>
      </w:r>
    </w:p>
    <w:p>
      <w:r>
        <w:t>Följande fridlysta arter har sina livsmiljöer och växtplatser i den avverkningsanmälda skogen: röd skogslilja (NT, §8).</w:t>
      </w:r>
    </w:p>
    <w:p>
      <w:r>
        <w:rPr>
          <w:b/>
        </w:rPr>
        <w:t>Röd skogslilja (NT, §8)</w:t>
      </w:r>
      <w:r>
        <w:t xml:space="preserve"> växer i öppna skogar, oftast i barrskogar, vilka domineras av tall. Den gynnas av kalk och sand och hittas i torrare miljöer än de flesta andra orkidéer. Arten är mycket känslig för markberedning men även av en alltför kraftig beskuggning. Den är känslig mot slutavverkning men vissa skogsbruksåtgärder kan möjligen gynna arten om det görs på rätt sätt. Röd skogslilja är fridlyst enligt 8 § artskyddsförordningen och placerad högst upp i Skogsstyrelsens värdepyramid för bedömning av skog med höga naturvärden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