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14450-2023 i Gotlands kommun</w:t>
      </w:r>
    </w:p>
    <w:p>
      <w:r>
        <w:t>Detta dokument behandlar höga naturvärden i avverkningsanmälan A 14450-2023 i Gotlands kommun. Denna avverkningsanmälan inkom 2023-03-27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bullspindling (VU), duvspindling (VU), granrotspindling (VU), gulsträngad fagerspindling (VU), pluggtrattskivling (VU), svartgrön spindling (VU), vit taggsvamp (VU), backtimjan (NT), bittermusseron (NT), denisespindling (NT), dårgräsfjäril (NT, §4a), flattoppad klubbsvamp (NT), jordtistel (NT), mjölsvärting (NT), odörspindling (NT), svart taggsvamp agg. (NT), svinrot (NT), trollspindling (DD), anisspindling (S), blå slemspindling (S), diskvaxskivling (S), fjällig taggsvamp s.str. (S), fransig jordstjärna (S), kastanjefjällskivling (S), kattfotslav (S), mindre märgborre (S), murgröna (S), nästrot (S, §8), olivspindling (S), rödfläckig zontaggsvamp (S), rödgul trumpetsvamp (S), ullmusseron (S), vågbandad barkbock (S), sankt pers nycklar (§8),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Ullmusseron (VU)</w:t>
      </w:r>
      <w:r>
        <w:t xml:space="preserve"> bildar mykorrhiza med gran, eventuellt även med tall, i kalkbarrskog, sällsynt även med bok i bokskog på kalkrik mark. Arten har sin huvudsakliga förekomst på Gotland. En handfull bekräftade fynd finns från norra Öland och från kalkrik bokskog i Skåne. Den totala populationen i landet har minskat kraftigt och bedöms fortsätta minska på grund av avverkning av kalkbarrskogar och tilltagande fragmentering av artens livsmiljöer.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(SLU Artdatabanken, 2026).</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