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30542-2025 i Gotlands kommun</w:t>
      </w:r>
    </w:p>
    <w:p>
      <w:r>
        <w:t>Detta dokument behandlar höga naturvärden i avverkningsanmälan A 30542-2025 i Gotlands kommun. Denna avverkningsanmälan inkom 2025-06-23 00:00:00 och omfattar 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31 naturvårdsarter hittats: ask (EN), sienamusseron (EN), granrotspindling (VU), gulsträngad fagerspindling (VU), kopparspindling (VU), narrspindling (VU), svartgrön spindling (VU), violettfläckig spindling (VU), backtimjan (NT), dårgräsfjäril (NT, §4a), jordtistel (NT), odörspindling (NT), solvända (NT), spillkråka (NT, §4), svinrot (NT), äggspindling (NT), ängsstarr (NT), trollspindling (DD), anisspindling (S), barrfagerspindling (S), blå slemspindling (S), blåmossa (S), fjällig taggsvamp s.str. (S), grovticka (S), jordstjärnesläktet (S), olivspindling (S), skogsknipprot (S, §8), sårläka (S), tvåblad (S, §8), brudsporre (§8) och fläcknycklar (§8). Av dessa är 18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5640"/>
            <wp:docPr id="1" name="Picture 1"/>
            <wp:cNvGraphicFramePr>
              <a:graphicFrameLocks noChangeAspect="1"/>
            </wp:cNvGraphicFramePr>
            <a:graphic>
              <a:graphicData uri="http://schemas.openxmlformats.org/drawingml/2006/picture">
                <pic:pic>
                  <pic:nvPicPr>
                    <pic:cNvPr id="0" name="A 30542-2025 karta.png"/>
                    <pic:cNvPicPr/>
                  </pic:nvPicPr>
                  <pic:blipFill>
                    <a:blip r:embed="rId16"/>
                    <a:stretch>
                      <a:fillRect/>
                    </a:stretch>
                  </pic:blipFill>
                  <pic:spPr>
                    <a:xfrm>
                      <a:off x="0" y="0"/>
                      <a:ext cx="5486400" cy="49456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6358504, E 712233 i SWEREF 99 TM.</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Barrfagerspindling (NT)</w:t>
      </w:r>
      <w:r>
        <w:t xml:space="preserve"> bildar mykorrhiza med gran, möjligen också med tall, i äldre kalkbarrskog. Den totala populationen i landet har minskat och bedöms fortsätta minska till följd av avverkning av äldre kalkbarrskog. Arten har begränsad förmåga att återetablera sig efter slutavverkning eller andra storskaliga skogsbruksåtgärder, och det finns inga indikationer på att den långsiktigt kan etablera eller reproducera sig i bestånd som brukas med trakthyggesmetoder, markberedning, gödsling eller förädlat plantmaterial. Minskningstakten för den svenska populationen bedöms vara nära gränsvärdet för Sårbar (VU) (SLU Artdatabanken, 2026).</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Blå slemspindling (NT)</w:t>
      </w:r>
      <w:r>
        <w:t xml:space="preserve"> är en mykorrhizasvamp som förekommer i kalkgranskogar med välutvecklade mossmattor och ett örtrikt fältskikt. Den växer även på rik mark i ädellövskog under bok, ek. lind och hassel. Växtplatserna har ofta hög luftfuktighet och ligger gärna i anslutning till en bäck eller ett fuktdråg där marken inte blir helt uttorkad under sommaren. Arten signalerar höga naturvärden och växer ofta tillsammans med många andra ovanliga och rödlistade arter. Den totala populationen i landet bedöms ha minskat och väntas fortsätta minska, främst till följd av avverkning av kalkbarrskogar. Blå slemspindling är typisk art för </w:t>
      </w:r>
      <w:r>
        <w:rPr>
          <w:i/>
        </w:rPr>
        <w:t xml:space="preserve">9050 Näringsrik granskog </w:t>
      </w:r>
      <w:r>
        <w:t>(SLU Artdatabanken, 2026; Nitare &amp; Skogsstyrelsen, 2019).</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Granrotspindling (VU) </w:t>
      </w:r>
      <w:r>
        <w:t>bildar mykorrhiza med gran. Växer i djup barrförna, gärna i gamla myrstackar, i medelålders till äldre ängsgranskog på kalkrik mark.</w:t>
      </w:r>
      <w:r>
        <w:rPr>
          <w:b/>
        </w:rPr>
        <w:t xml:space="preserve"> </w:t>
      </w:r>
      <w:r>
        <w:t>Minskningstakten uppgår till 30 % inom 50 år och överstiger gränsvärdet för Sårbar (VU) enligt A-kriteriet. (A2c+3c+4c). Arten missgynnas av avverkning och markberedning. Generellt bör lokaler som är särskilt rika på förekomster av sällsynta svampar säkerställas och lämnas för fri utveckling (SLU Artdatabanken, 2024).</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Gulsträngad fagerspindling (VU)</w:t>
      </w:r>
      <w:r>
        <w:t>, som bildar mykorrhiza med tall och gran i luckig kalkbarrskog, har sin huvudsakliga utbredning på Gotland samt enstaka fynd på norra Öland. Arten är placerad högst upp i Skogsstyrelsens värdepyramid för bedömning av skog med höga naturvärden och hotas av slutavverkningar av äldre kontinuitetsbarrskog. Lokaler med arten måste skyddas från avverkning och kalkbrytning. Gulsträngad fagerspindling är globalt rödlistad som sårbar (VU) vilket innebär att Sverige har ett internationellt ansvar för arten (SLU Artdatabanken, 2024; Nitare &amp; Skogsstyrelsen, 2019; IUCN, 2019).</w:t>
      </w:r>
    </w:p>
    <w:p>
      <w:r>
        <w:rPr>
          <w:b/>
        </w:rPr>
        <w:t xml:space="preserve">Kopparspindling (VU) </w:t>
      </w:r>
      <w:r>
        <w:t>bildar mykorrhiza med tall och gran i äldre ängsgranskog på kalkrik mark, mer sällan i ren kalktallskog.</w:t>
      </w:r>
      <w:r>
        <w:rPr>
          <w:b/>
        </w:rPr>
        <w:t xml:space="preserve"> </w:t>
      </w:r>
      <w:r>
        <w:t>Minskningstakten uppgår till 30 % inom 50 år och överstiger gränsvärdet för Sårbar (VU) enligt A-kriteriet. (A2c+3c+4c).</w:t>
      </w:r>
      <w:r>
        <w:rPr>
          <w:b/>
        </w:rPr>
        <w:t xml:space="preserve"> </w:t>
      </w:r>
      <w:r>
        <w:t>Intensivt skogsbruk, särskilt kalavverkning och markberedning missgynnar arten och lokaler som även hyser ett stort antal andra hotade arter bör helt undantas från skogsbruk.</w:t>
      </w:r>
      <w:r>
        <w:rPr>
          <w:b/>
        </w:rPr>
        <w:t xml:space="preserve"> </w:t>
      </w:r>
      <w:r>
        <w:t>Kopparspindling är globalt rödlistad som nära hotad (NT) vilket innebär att Sverige har ett internationellt ansvar för arten (SLU Artdatabanken, 2024; IUCN, 2015).</w:t>
      </w:r>
    </w:p>
    <w:p>
      <w:r>
        <w:rPr>
          <w:b/>
        </w:rPr>
        <w:t>Narrspindling (VU)</w:t>
      </w:r>
      <w:r>
        <w:t xml:space="preserve"> bildar mykorrhiza med tall på kalkrik mark i luckig kalktallskog. Den är placerad högst upp i Skogsstyrelsens värdepyramid för bedömning av skog med höga naturvärden och är i Norden bara känd från ett fåtal lokaler på Gotland. Arten är mycket sårbar genom sin fåtaliga förekomst och bedöms ha minskat och fortsätter att minska, huvudsakligen p.g.a. slutavverkningar av äldre barrskog (SLU Artdatabanken, 2024; Nitare &amp; Skogsstyrelsen, 2019).</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Sienamusseron (EN)</w:t>
      </w:r>
      <w:r>
        <w:t xml:space="preserve"> är en mycket sällsynt och starkt hotad art som bildar mykorrhiza med tall i kalkbarrskog, ofta på något sandiga jordar. Det största enskilda hotet mot arten är slutavverkning av de skogsbestånd där den växer. Sienamusseronen omfattas av ett åtgärdsprogram för hotade arter (ÅGP) och är placerad högst upp i Skogsstyrelsens värdepyramid för bedömning av skog med höga naturvärden. Samtliga förekomster kan tolkas som relikter och varje lokal har mycket högt skyddsvärde (SLU Artdatabanken, 2024; Nitare &amp; Skogsstyrelsen, 2019; Johansson &amp; Bohus-Jensen, 2011).</w:t>
      </w:r>
    </w:p>
    <w:p>
      <w:r>
        <w:rPr>
          <w:b/>
        </w:rPr>
        <w:t>Svartgrön spindling (VU)</w:t>
      </w:r>
      <w:r>
        <w:t>, som bildar mykorrhiza med gran och tall i ängsgranskog och barrblandskog på kalkrik mark, har i Sverige sin huvudsakliga utbredning på Gotland. Arten är placerad högst upp i Skogsstyrelsens värdepyramid för bedömning av skog med höga naturvärden och den missgynnas av intensivt skogsbruk och kalavverkningar. Svartgrön spindling är globalt rödlistad som nära hotad (NT) vilket innebär att Sverige har ett internationellt ansvar för arten (SLU Artdatabanken, 2024; Nitare &amp; Skogsstyrelsen, 2019; IUCN, 2019).</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r>
        <w:rPr>
          <w:b/>
        </w:rPr>
        <w:t>Trollspindling (VU)</w:t>
      </w:r>
      <w:r>
        <w:t xml:space="preserve"> är en ytterst sällsynt ädelspindling som bildar mykorrhiza med tall och gran i ljusöppen och luckig kalkbarrskog. Främsta hotet är rationellt skogsbruk med slutavverkning eller andra avverkningar. Skydda kända lokaler formellt och om svampen påträffas på nya lokaler bör även dessa skyddas (SLU Artdatabanken, 2026).</w:t>
      </w:r>
    </w:p>
    <w:p>
      <w:r>
        <w:rPr>
          <w:b/>
        </w:rPr>
        <w:t>Violettfläckig spindling (VU)</w:t>
      </w:r>
      <w:r>
        <w:t xml:space="preserve"> bildar mykorrhiza med gran och tall i äldre kalkbarrskogar på torr, örtrik mark. Minskningstakten uppgår till 30 % inom 50 år och överstiger gränsvärdet för Sårbar (VU). Artens ekologiska krav med fynd enbart i äldre, örtrika kalkbarrskogar med kontinuitet, miljöer som idag ofta är starkt hotade av slutavverkningar, gör den mycket sårbar. Alla kända lokaler har ett högt skyddsvärde och kalkbarrskogar med höga naturvärden bör få områdesskydd med individuellt anpassade skötselråd (SLU Artdatabanken, 2024).</w:t>
      </w:r>
    </w:p>
    <w:p>
      <w:r>
        <w:rPr>
          <w:b/>
        </w:rPr>
        <w:t xml:space="preserve">Äggspindling (NT) </w:t>
      </w:r>
      <w:r>
        <w:t>bildar mykorrhiza med gran i äldre ängsgranskog på kalkrik mark och kräver sannolikt lång kontinuitet av äldre träd. Arten bedöms ha minskat med mer än 15 % över de senaste 50 åren, p.g.a. slutavverkning av äldre skog och minskningstakten för den svenska populationen bedöms vara nära gränsvärdet för Sårbar (VU). (A2c+3c+4c). På artens växtplatser måste skogsbruk ske med stor försiktighet eftersom de ofta innehåller ett stort antal sällsynta och hotade arter. Lokaler med rika förekomster bör betraktas som nyckelbiotoper och helt undantas från avverkning. Äggspindling är globalt rödlistad som nära hotad (NT) vilket innebär att Sverige har ett internationellt ansvar för arten (SLU Artdatabanken, 2024; Nitare &amp; Skogsstyrelsen, 2019; IUCN, 2019).</w:t>
      </w:r>
    </w:p>
    <w:p>
      <w:pPr>
        <w:pStyle w:val="Heading1"/>
      </w:pPr>
      <w:r>
        <w:t>Fridlysta arter</w:t>
      </w:r>
    </w:p>
    <w:p>
      <w:r>
        <w:t>Följande fridlysta arter har sina livsmiljöer och växtplatser i den avverkningsanmälda skogen: dårgräsfjäril (NT, §4a), spillkråka (NT, §4), skogsknipprot (S, §8), tvåblad (S, §8), brudsporre (§8)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Dårgräsfjäril (NT, §4a)</w:t>
      </w:r>
      <w:r>
        <w:t xml:space="preserve"> är rödlistad som nära hotad, fridlyst enligt 4a§ artskyddsförordningen och omfattas av bilaga 4 EU:s art- och habitatdirektiv vilket innebär ett strikt skydd där hela livsmiljön ska bevaras. Sedan 2005 omfattas dårgräsfjärilen av ett åtgärdsprogram för hotade arter (SLU Artdatabanken, 2024; Bergman, 2005). Hanar av dårgräsfjärilen ses ofta patrullera längs med bryn och vägar medan ägg-, larv- och puppstadier sker i bryn och i mindre gläntor inne i skogen. Speciellt äggen är uttorkningskänsliga och arten överlever inte kalavverkning (SLU Artdatabanken, 2024).</w:t>
      </w:r>
    </w:p>
    <w:p>
      <w:r>
        <w:rPr>
          <w:b/>
        </w:rPr>
        <w:t>Skogsknipprot (§8)</w:t>
      </w:r>
      <w:r>
        <w:t xml:space="preserve"> är fridlyst enligt 8§ artskyddsförordningen och typisk art för </w:t>
      </w:r>
      <w:r>
        <w:rPr>
          <w:i/>
        </w:rPr>
        <w:t>9050 Näringsrik granskog</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Dårgräsfjäril – ekologi samt krav på livsmiljön</w:t>
      </w:r>
    </w:p>
    <w:p>
      <w:r>
        <w:t xml:space="preserve">Dårgräsfjäril </w:t>
      </w:r>
      <w:r>
        <w:rPr>
          <w:i/>
        </w:rPr>
        <w:t>Lopinga achine</w:t>
      </w:r>
      <w:r>
        <w:t xml:space="preserve"> (NT, §4a) är rödlistad som nära hotad, fridlyst enligt 4a§ artskyddsförordningen och omfattas av bilaga 4 EU:s art- och habitatdirektiv vilket innebär ett strikt skydd där hela artens livsmiljö ska bevaras. Sedan 2005 omfattas den av ett åtgärdsprogram (ÅGP) för hotade arter.</w:t>
      </w:r>
    </w:p>
    <w:p>
      <w:r>
        <w:t xml:space="preserve">I Sverige förekommer dårgräsfjärilen i Östergötland och på Gotland. Den påträffas i gles skog med riklig förekomst av artens värdväxt lundstarr </w:t>
      </w:r>
      <w:r>
        <w:rPr>
          <w:i/>
        </w:rPr>
        <w:t>Carex montana</w:t>
      </w:r>
      <w:r>
        <w:t>, som trivs på mullrik, gärna kalkhaltig mineraljord. På Gotland förekommer arten i ljus, lågvuxen ängstallskog med buskskikt av brakved, rönn och oxel (SLU Artdatabanken, 2024).</w:t>
      </w:r>
    </w:p>
    <w:p>
      <w:r>
        <w:t>Arten är mycket lokaltrogen och en undersökning av fjärilarnas spridningsförmåga med märkning- och återfångstförsök visade att de undviker att flytta längre sträckor, den längsta sträcka som uppmättes var 700 m (Bergman &amp; Landin 2002). De var mer benägna att flytta sig genom skogsmark än över öppen mark. Hanarna patrullerar buskbrynens solexponerade sida på jakt efter oparade honor (SLU Artdatabanken, 2024). Vid äggläggningen släpper honan äggen under flykten i anslutning till bestånd av lundstarr som växer i buskbryn och mindre gläntor inne i skogen. Äggen är känsliga för uttorkning och honan undviker därför att släppa dem alltför långt från skuggivande buskage.</w:t>
      </w:r>
    </w:p>
    <w:p>
      <w:r>
        <w:t>Arten hotas av granplantering, slutavverkning, alltför hård röjning och gallring. På fastlandet hotas fjärilen av igenväxning medan gotlandslokalerna inte verkar vara lika starkt utsatta för igenväxning, vilket sannolikt beror på de tunnare jordlagren. På Gotland är det snarare kalhyggesbruk som kan hota arten. På Gotland, där utbredningsområdet är större, är ett försiktigt skogsbruk (plockhuggning) på dårgräsfjärilens lokaler troligen möjligt, förutsatt att det finns orörda lokaler i närheten från vilka den kan återkolonisera områdena efteråt (SLU Artdatabanken, 2024).</w:t>
      </w:r>
    </w:p>
    <w:p>
      <w:r>
        <w:t>Dårgräsfjäril är en av de mest hotade dagfjärilarna i Nordvästeuropa. Populationstrenden är kraftigt vikande i Tyskland, Tjeckien, Slovakien, Polen och Österrike och vikande i flertalet övriga länder i Europa utom i europeiska delen av Ryssland, Estland, Lettland och Finland där den är stabil eller expanderande. Arten är försvunnen i Belgien och Bulgarien (SLU Artdatabanken, 2024).</w:t>
      </w:r>
    </w:p>
    <w:p>
      <w:pPr>
        <w:pStyle w:val="Heading2"/>
      </w:pPr>
      <w:r>
        <w:t>Referenser – dårgräsfjäril</w:t>
      </w:r>
    </w:p>
    <w:p>
      <w:r>
        <w:t xml:space="preserve">Bergman, K.-O., 2005. </w:t>
      </w:r>
      <w:r>
        <w:rPr>
          <w:i/>
        </w:rPr>
        <w:t xml:space="preserve">Åtgärdsprogram för bevarande av dårgräsfjäril (Lopinga achine). </w:t>
      </w:r>
      <w:r>
        <w:t>(5527). Bromma. https://www.naturvardsverket.se/978-91-620-5527-5</w:t>
      </w:r>
    </w:p>
    <w:p>
      <w:r>
        <w:t xml:space="preserve">Bergman, K.-O. &amp; Landin, J. (2002). </w:t>
      </w:r>
      <w:r>
        <w:rPr>
          <w:i/>
        </w:rPr>
        <w:t xml:space="preserve">Population structure and movements of a threatened butterfly (Lopinga achine) in a fragmented landscape in Sweden. </w:t>
      </w:r>
      <w:r>
        <w:t>Biological Conservation. 108, 361–369.</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