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brun glada (EN, §4), granrotspindling (VU), gulsträngad fagerspindling (VU), läderdoftande fingersvamp (VU), narrspindling (VU), svartgrön spindling (VU), violettfläckig spindling (VU), apollofjäril (NT, §4a), axveronika (NT), backtimjan (NT), fyrflikig jordstjärna (NT), havsörn (NT, §4), jordtistel (NT), mindre hackspett (NT, §4), odörspindling (NT), reliktbock (NT), solvända (NT), spillkråka (NT, §4), svartfläckig blåvinge (NT, §4a), anisspindling (S), blå slemspindling (S), fjällig taggsvamp s.str. (S), fransig jordstjärna (S), grovticka (S), grönpyrola (S), kamjordstjärna (S), nästrot (S, §8), purpurknipprot (S, §8), rödbrun jordstjärna (S), skarp dropptaggsvamp (S), skogsknipprot (S, §8), svavelriska (S), toppvaxing (S), brudsporre (§8), grönvit nattviol (§8), nattviol (§8),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brun glada (EN, §4), apollofjäril (NT, §4a), havsörn (NT, §4), mindre hackspett (NT, §4), spillkråka (NT, §4), svartfläckig blåvinge (NT, §4a), nästrot (S, §8),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