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30236-2025 i Gotlands kommun</w:t>
      </w:r>
    </w:p>
    <w:p>
      <w:r>
        <w:t>Detta dokument behandlar höga naturvärden i avverkningsanmälan A 30236-2025 i Gotlands kommun. Denna avverkningsanmälan inkom 2025-06-19 00:00:00 och omfattar 13,6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bullspindling (VU), duvspindling (VU), granrotspindling (VU), gulsträngad fagerspindling (VU), läderdoftande fingersvamp (VU), stor granspindling (VU), svartgrön spindling (VU), vit taggsvamp (VU), denisespindling (NT), jordtistel (NT), odörspindling (NT), reliktbock (NT), spillkråka (NT, §4), svinrot (NT), anisspindling (S), blå slemspindling (S), blåmossa (S), grönpyrola (S), jordstjärnesläktet (S), kantjordstjärna (S), nästrot (S, §8), olivspindling (S), purpurknipprot (S, §8), rödfläckig zontaggsvamp (S), tvåblad (S, §8), vit skogslilja (S, §8), zontaggsvamp (S), grönvit nattviol (§8), nattviol (§8) och sankt pers nycklar (§8).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9822"/>
            <wp:docPr id="1" name="Picture 1"/>
            <wp:cNvGraphicFramePr>
              <a:graphicFrameLocks noChangeAspect="1"/>
            </wp:cNvGraphicFramePr>
            <a:graphic>
              <a:graphicData uri="http://schemas.openxmlformats.org/drawingml/2006/picture">
                <pic:pic>
                  <pic:nvPicPr>
                    <pic:cNvPr id="0" name="A 30236-2025 karta.png"/>
                    <pic:cNvPicPr/>
                  </pic:nvPicPr>
                  <pic:blipFill>
                    <a:blip r:embed="rId16"/>
                    <a:stretch>
                      <a:fillRect/>
                    </a:stretch>
                  </pic:blipFill>
                  <pic:spPr>
                    <a:xfrm>
                      <a:off x="0" y="0"/>
                      <a:ext cx="5486400" cy="4029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6385159, E 725605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Rödfläckig zontaggsvamp (NT)</w:t>
      </w:r>
      <w:r>
        <w:t xml:space="preserve"> bildar mykorrhiza med gran i barrskog på kalkrik eller annan basiskt påverkad mark. Den totala populationen i landet har minskat och bedöms fortsätta minska till följd av avverkning av äldre kalkbarrskog. Det finns inga indikationer på att arten långsiktigt kan etablera eller reproducera sig i skogsbestånd som brukas med trakthyggesmetoder, markberedning, gödsling eller föryngring med förädlat plantmaterial (SLU Artdatabanken, 2026).</w:t>
      </w:r>
    </w:p>
    <w:p>
      <w:r>
        <w:rPr>
          <w:b/>
        </w:rPr>
        <w:t>Stor granspindling (VU)</w:t>
      </w:r>
      <w:r>
        <w:t xml:space="preserve"> bildar mykorrhiza med gran, eventuellt även med tall, i ängsgranskog och barrblandskog på kalkrik mark. Växer huvudsakligen i äldre skogsbestånd bland örter eller i djup mossa. Arten påverkas negativt av brist på kontinuitetsskog och den totala populationen i landet bedöms fortgående minska p.g.a. slutavverkningar av äldre kalkbarrskog och försämrad habitatkvalitet (SLU Artdatabanken, 2026).</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pPr>
        <w:pStyle w:val="Heading1"/>
      </w:pPr>
      <w:r>
        <w:t>Fridlysta arter</w:t>
      </w:r>
    </w:p>
    <w:p>
      <w:r>
        <w:t>Följande fridlysta arter har sina livsmiljöer och växtplatser i den avverkningsanmälda skogen: spillkråka (NT, §4), nästrot (S, §8), purpurknipprot (S, §8), tvåblad (S, §8), vit skogslilja (S, §8), grönvit nattviol (§8), nattviol (§8) och sankt pers 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