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4716-2024 i Gotlands kommun</w:t>
      </w:r>
    </w:p>
    <w:p>
      <w:r>
        <w:t>Detta dokument behandlar höga naturvärden i avverkningsanmälan A 4716-2024 i Gotlands kommun. Denna avverkningsanmälan inkom 2024-02-06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47 naturvårdsarter hittats: blek bananspindling (EN), droppskivling (EN), blyspindling agg. (VU), bullspindling (VU), duvspindling (VU), dvärgfjällskivling (VU), gulsträngad fagerspindling (VU), mörkfjällig olivspindling (VU), narrspindling (VU), praktspindling (VU), sammetsbockrot (VU), svartgrön spindling (VU), tallvaxskivling (VU), tvillingspindling (VU), violettfläckig spindling (VU), violettrandad spindling (VU), vit taggsvamp (VU), backtimjan (NT), blekspindling agg. (NT), bredbrämad bastardsvärmare (NT), denisespindling (NT), flattoppad klubbsvamp (NT), gulsparv (NT, §4), jordtistel (NT), odörspindling (NT), sandkremla (NT), slåtterfibbla (NT), svart taggsvamp agg. (NT), pärlchampinjon (DD), anisspindling (S), besk kastanjemusseron (S), diskvaxskivling (S), kastanjefjällskivling (S), kryddspindling (S), murgröna (S), olivspindling (S), purpurknipprot (S, §8), rödgul trumpetsvamp (S), skogsknipprot (S, §8), strimspindling (S), grönsiska (§4), skogsduva (§4), brudsporre (§8), grönvit nattviol (§8), johannesnycklar (§8), nattviol (§8) och blåsippa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6358315, E 692988 i SWEREF 99 TM.</w:t>
      </w:r>
    </w:p>
    <w:p>
      <w:r>
        <w:rPr>
          <w:b/>
        </w:rPr>
        <w:t>Blek bananspindling (EN)</w:t>
      </w:r>
      <w:r>
        <w:t xml:space="preserve"> är en sällsynt och starkt hotad art som bildar mykorrhiza med tall i äldre kalktallskog. Främsta hotet utgörs av skogsbruk med slutavverkning eller andra avverkningar. Arten har så pass få kända lokaler i Norden att alla dess växtplatser formellt bör skyddas. Om svampen påträffas på nya lokaler bör även dessa skyddas. Blek bananspindling</w:t>
      </w:r>
      <w:r>
        <w:rPr>
          <w:b/>
        </w:rPr>
        <w:t xml:space="preserve"> </w:t>
      </w:r>
      <w:r>
        <w:t>är globalt rödlistad som sårbar (VU) vilket innebär att Sverige har ett internationellt ansvar för arten (SLU Artdatabanken, 2026; IUCN, 2015).</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Droppskivling (VU)</w:t>
      </w:r>
      <w:r>
        <w:t xml:space="preserve"> är en nedbrytare i gräsmark, gläntor och bryn i barr- och lövskog på kalkrik mark, huvudsakligen i betad och ljusöppen skog. Arten missgynnas troligen av avverkning och andra skogsbruksåtgärder. Samtliga lokaler bör skyddas (SLU Artdatabanken, 2026).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gulsparv (NT, §4), purpurknipprot (S, §8), skogsknipprot (S, §8), grönsiska (§4), skogsduva (§4), brudsporre (§8), grönvit nattviol (§8), johannesnycklar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47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