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32326-2024 i Gotlands kommun</w:t>
      </w:r>
    </w:p>
    <w:p>
      <w:r>
        <w:t>Detta klagomål behandlar höga naturvärden i avverkningsanmälan A 32326-2024 i Gotlands kommun som inkom 2024-08-08 och omfattar 9,2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32326-2024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6384065, E 721474 i SWEREF 99 TM.</w:t>
      </w:r>
    </w:p>
    <w:p>
      <w:r>
        <w:t>I och inom 23 meter från avverkningsanmälan finns fynd av 10 naturvårdsarter, varav 6 är rödlistade, 4 är fridlysta, 2 är typiska (T) och 2 är signalarter (S): tallgångbagge (VU), backruta (NT), backtimjan (NT), jordtistel (NT), svinrot (NT), säfferot (NT), purpurknipprot (S, §8), skogsknipprot (S, T, §8), nattskärra (T, §4)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Tallgångbagge (VU) </w:t>
      </w:r>
      <w:r>
        <w:t>är en skalbagge vars larvutveckling sker i anslutning till barkborreangrepp och trädsvampar under nyligen död barrträdsbark. Främst under barken på stående tallar, och oftast i urskogsartade bestånd. De fullbildade skalbaggarna övervintrar under barken och kan sållas fram från hösten till försommaren. Arten tycks ställa stora krav på sin miljö och kräver tydligen urskogsartade bestånd med en god och kontinuerlig tillgång till nyligen döda tallar. Spara områden med gammal, överårig tallskog som nyckelbiotoper eller naturreservat. Gallra ej bort nyligen döda tallar ur naturskogsbestånd. Tallgångbagge ingår i ett åtgärdsprogram för hotade arter (ÅGP) (SLU Artdatabanken, 2024; Pettersson, 2014).</w:t>
      </w:r>
    </w:p>
    <w:p>
      <w:r>
        <w:rPr>
          <w:b/>
        </w:rPr>
        <w:t>Skogsknipprot (§8)</w:t>
      </w:r>
      <w:r>
        <w:t xml:space="preserve"> är fridlyst enligt 8§ artskyddsförordningen och typisk art för </w:t>
      </w:r>
      <w:r>
        <w:rPr>
          <w:i/>
        </w:rPr>
        <w:t>9050 Näringsrik granskog</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