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29 naturvårdsarter, varav 20 är rödlistade, 4 är fridlysta, 5 är typiska (T) och 6 är signalarter (S): blårödling (VU), duvspindling (VU), garderönn (VU, §7), granrotspindling (VU), gulsträngad fagerspindling (VU), svartgrön spindling (VU), violettfläckig spindling (VU), backtimjan (NT), barrviolspindling (NT), blå slemspindling (NT, T), denisespindling (NT), dårgräsfjäril (NT, §4a), flattoppad klubbsvamp (NT), jungfrulin (NT), kryddspindling (NT, T), odörspindling (NT), sandkremla (NT), solvända (NT), vippärt (NT, T), äggspindling (NT), anisspindling (S), fransig jordstjärna (S), olivspindling (S), rödgul trumpetsvamp (S), svavelriska (S), vågbandad barkbock (S), getrams (T),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