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27170-2026 i Gotlands kommun</w:t>
      </w:r>
    </w:p>
    <w:p>
      <w:r>
        <w:t>Denna tillsynsbegäran behandlar höga naturvärden i avverkningsanmälan A 27170-2026 i Gotlands kommun som inkom 2026-06-15 och omfattar 1,8 ha.</w:t>
      </w:r>
    </w:p>
    <w:p>
      <w:pPr>
        <w:pStyle w:val="Caption"/>
      </w:pPr>
      <w:r>
        <w:drawing>
          <wp:inline xmlns:a="http://schemas.openxmlformats.org/drawingml/2006/main" xmlns:pic="http://schemas.openxmlformats.org/drawingml/2006/picture">
            <wp:extent cx="5276161" cy="5724000"/>
            <wp:docPr id="1" name="Picture 1"/>
            <wp:cNvGraphicFramePr>
              <a:graphicFrameLocks noChangeAspect="1"/>
            </wp:cNvGraphicFramePr>
            <a:graphic>
              <a:graphicData uri="http://schemas.openxmlformats.org/drawingml/2006/picture">
                <pic:pic>
                  <pic:nvPicPr>
                    <pic:cNvPr id="0" name="A 27170-2026 karta.png"/>
                    <pic:cNvPicPr/>
                  </pic:nvPicPr>
                  <pic:blipFill>
                    <a:blip r:embed="rId16"/>
                    <a:stretch>
                      <a:fillRect/>
                    </a:stretch>
                  </pic:blipFill>
                  <pic:spPr>
                    <a:xfrm>
                      <a:off x="0" y="0"/>
                      <a:ext cx="5276161"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6362586, E 696988 i SWEREF 99 TM.</w:t>
      </w:r>
    </w:p>
    <w:p>
      <w:r>
        <w:t>I och inom 17 meter från avverkningsanmälan finns fynd av 8 naturvårdsarter, varav 2 är rödlistade, 3 är fridlysta, 5 är typiska (T) och 2 är signalarter (S): dårgräsfjäril (NT, §4a), svinrot (NT), blåmossa (S, T), skogsknipprot (S, T, §8), liljekonvalj (T), majbräken (T), ormbär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r>
        <w:rPr>
          <w:b/>
        </w:rPr>
        <w:t>Ormbär</w:t>
      </w:r>
      <w:r>
        <w:t xml:space="preserve"> är typisk art för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blåmossa (S, T), skogsknipprot (S, T, §8), liljekonvalj (T), majbräken (T)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