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22 meter från avverkningsanmälan finns fynd av 29 naturvårdsarter, varav 20 är rödlistade, 4 är fridlysta, 5 är typiska (T) och 6 är signalarter (S): blårödling (VU), duvspindling (VU), garderönn (VU, §7), granrotspindling (VU), gulsträngad fagerspindling (VU), svartgrön spindling (VU), violettfläckig spindling (VU), backtimjan (NT), barrviolspindling (NT), blå slemspindling (NT, T), denisespindling (NT), dårgräsfjäril (NT, §4a), flattoppad klubbsvamp (NT), jungfrulin (NT), kryddspindling (NT, T), odörspindling (NT), sandkremla (NT), solvända (NT), vippärt (NT, T), äggspindling (NT), anisspindling (S), fransig jordstjärna (S), olivspindling (S), rödgul trumpetsvamp (S), svavelriska (S), vågbandad barkbock (S), getrams (T),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vippärt (NT, T), getrams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