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35 naturvårdsarter, varav 27 är rödlistade, 2 är fridlysta, 6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murgröna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