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25205-2021 i Gotlands kommun</w:t>
      </w:r>
    </w:p>
    <w:p>
      <w:r>
        <w:t>Detta dokument behandlar höga naturvärden i avverkningsanmälan A 25205-2021 i Gotlands kommun. Denna avverkningsanmälan inkom 2021-05-26 00:00:00 och omfattar 2,8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ädellav (EN), mörk kraterlav (VU), hasselticka (S), lönnlav (S), rikfruktig blemlav (S) och slät lönnlav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65107"/>
            <wp:docPr id="1" name="Picture 1"/>
            <wp:cNvGraphicFramePr>
              <a:graphicFrameLocks noChangeAspect="1"/>
            </wp:cNvGraphicFramePr>
            <a:graphic>
              <a:graphicData uri="http://schemas.openxmlformats.org/drawingml/2006/picture">
                <pic:pic>
                  <pic:nvPicPr>
                    <pic:cNvPr id="0" name="A 25205-2021 karta.png"/>
                    <pic:cNvPicPr/>
                  </pic:nvPicPr>
                  <pic:blipFill>
                    <a:blip r:embed="rId16"/>
                    <a:stretch>
                      <a:fillRect/>
                    </a:stretch>
                  </pic:blipFill>
                  <pic:spPr>
                    <a:xfrm>
                      <a:off x="0" y="0"/>
                      <a:ext cx="5486400" cy="45651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6395472, E 714167 i SWEREF 99 TM.</w:t>
      </w:r>
    </w:p>
    <w:p>
      <w:r>
        <w:rPr>
          <w:b/>
        </w:rPr>
        <w:t>Hasselticka</w:t>
      </w:r>
      <w:r>
        <w:t xml:space="preserve"> är en bra signalart för lundar med höga naturvärden. På lokalerna förekommer ofta många andra ovanliga och rödlistade arter. Växtplatserna har normalt långvarig lövkontinuitet av hassel (ibland al). Den kräver dessutom att det successivt bildas, och i området kontinuerligt förekommit, en viss mängd döda stammar. Arten tycks saknas i sekundära och i sen tid uppkomna al- och hasselmarker om dessa inte ligger i direkt anslutning till äldre förekomster (Nitare &amp; Skogsstyrelsen, 2019).</w:t>
      </w:r>
    </w:p>
    <w:p>
      <w:r>
        <w:rPr>
          <w:b/>
        </w:rPr>
        <w:t>Mörk kraterlav (VU)</w:t>
      </w:r>
      <w:r>
        <w:t xml:space="preserve"> växer på grov bark av ädellövträd som bok, alm, ask, lönn och ek. Miljöerna varierar från slutna bokskogar och andra ädellövskogar till öppna lövängar, alléer och parkmiljöer. Arten påträffas ofta vid basen av träden, men den förekommer inte sällan även en bit upp på stammen. Miljöerna har lång kontinuitet på gamla träd och tillsammans med mörk kraterlav förekommer ofta andra rödlistade lavar (SLU Artdatabanken, 2024).</w:t>
      </w:r>
    </w:p>
    <w:p>
      <w:r>
        <w:rPr>
          <w:b/>
        </w:rPr>
        <w:t xml:space="preserve">Ädellav (EN) </w:t>
      </w:r>
      <w:r>
        <w:t>är en starkt hotad lav som förekommer i kulturmiljöer som lövängar och ädellövträdsdungar på inägomark, skogsmiljöer som ädellövskog samt blandskogar med asp och gran. Luftfuktigheten är alltid hög. Arten är placerad högst upp i Skogsstyrelsens värdepyramid för bedömning av skog med höga naturvärden och lokaler bör skyddas mot slutavverkning och dikning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