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dokument behandlar höga naturvärden i avverkningsanmälan A 61664-2023 i Gotlands kommun. Denna avverkningsanmälan inkom 2023-12-05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duvspindling (VU), gulsträngad fagerspindling (VU), klenodspindling (VU), mörkfjällig olivspindling (VU), svartgrön spindling (VU), tvillingspindling (VU), vit taggsvamp (VU), jordtistel (NT), luktsporre (NT, §8), majviva (NT), odörspindling (NT), spillkråka (NT, §4), svinrot (NT), ängsstarr (NT), axag (S), blå slemspindling (S), blåmossa (S), kornknutmossa (S), kärrlilja (S), murgröna (S), nästrot (S, §8), olivspindling (S), skogsknipprot (S, §8), strimspindling (S), svavelriska (S), brudsporre (§8), dubbelnycklar (§8), fläcknycklar (§8), kärrknipprot (§8) och ängsnycklar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luktsporre (NT, §8), spillkråka (NT, §4), nästrot (S, §8), skogsknipprot (S, §8), brudsporre (§8), dubbelnycklar (§8), fläcknycklar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