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10995-2023 i Gotlands kommun</w:t>
      </w:r>
    </w:p>
    <w:p>
      <w:r>
        <w:t>Detta dokument behandlar höga naturvärden i avverkningsanmälan A 10995-2023 i Gotlands kommun. Denna avverkningsanmälan inkom 2023-03-01 00:00:00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violettfläckig spindling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4132"/>
            <wp:docPr id="1" name="Picture 1"/>
            <wp:cNvGraphicFramePr>
              <a:graphicFrameLocks noChangeAspect="1"/>
            </wp:cNvGraphicFramePr>
            <a:graphic>
              <a:graphicData uri="http://schemas.openxmlformats.org/drawingml/2006/picture">
                <pic:pic>
                  <pic:nvPicPr>
                    <pic:cNvPr id="0" name="A 10995-2023 karta.png"/>
                    <pic:cNvPicPr/>
                  </pic:nvPicPr>
                  <pic:blipFill>
                    <a:blip r:embed="rId16"/>
                    <a:stretch>
                      <a:fillRect/>
                    </a:stretch>
                  </pic:blipFill>
                  <pic:spPr>
                    <a:xfrm>
                      <a:off x="0" y="0"/>
                      <a:ext cx="5486400" cy="39341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6401691, E 714587 i SWEREF 99 TM.</w:t>
      </w:r>
    </w:p>
    <w:p>
      <w:r>
        <w:rPr>
          <w:b/>
        </w:rPr>
        <w:t>Violettfläckig spindling (VU)</w:t>
      </w:r>
      <w:r>
        <w:t xml:space="preserve"> bildar mykorrhiza med gran och tall i äldre kalkbarrskogar på torr, örtrik mark. Minskningstakten uppgår till 30 % inom 50 år och överstiger gränsvärdet för Sårbar (VU). Artens ekologiska krav med fynd enbart i äldre, örtrika kalkbarrskogar med kontinuitet, miljöer som idag ofta är starkt hotade av slutavverkningar, gör den mycket sårbar. Alla kända lokaler har ett högt skyddsvärde och kalkbarrskogar med höga naturvärden bör få områdesskydd med individuellt anpassade skötselråd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