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15068-2025 i Gotlands kommun</w:t>
      </w:r>
    </w:p>
    <w:p>
      <w:r>
        <w:t>Detta dokument behandlar höga naturvärden i avverkningsanmälan A 15068-2025 i Gotlands kommun. Denna avverkningsanmälan inkom 2025-03-27 00:00:00 och omfattar 37,3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18 naturvårdsarter hittats: granrotsspindling (VU), gulsträngad fagerspindling (VU), källnate (VU), violettfläckig spindling (VU), majviva (NT), odörspindling (NT), silversmygare (NT), ängsstarr (NT), blodkula (DD), anisspindling (S), axag (S), granbarkgnagare (S), kattfotslav (S), brudsporre (§8), Dactylorhiza incarnata subsp. incarnata (§8), dubbelnycklar (§8), kärrknipprot (§8) och ängsnycklar (§8).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51366"/>
            <wp:docPr id="1" name="Picture 1"/>
            <wp:cNvGraphicFramePr>
              <a:graphicFrameLocks noChangeAspect="1"/>
            </wp:cNvGraphicFramePr>
            <a:graphic>
              <a:graphicData uri="http://schemas.openxmlformats.org/drawingml/2006/picture">
                <pic:pic>
                  <pic:nvPicPr>
                    <pic:cNvPr id="0" name="A 15068-2025 karta.png"/>
                    <pic:cNvPicPr/>
                  </pic:nvPicPr>
                  <pic:blipFill>
                    <a:blip r:embed="rId16"/>
                    <a:stretch>
                      <a:fillRect/>
                    </a:stretch>
                  </pic:blipFill>
                  <pic:spPr>
                    <a:xfrm>
                      <a:off x="0" y="0"/>
                      <a:ext cx="5486400" cy="27513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6368476, E 715277 i SWEREF 99 TM.</w:t>
      </w:r>
    </w:p>
    <w:p>
      <w:r>
        <w:rPr>
          <w:b/>
        </w:rPr>
        <w:t xml:space="preserve">Granrotsspindling (VU) </w:t>
      </w:r>
      <w:r>
        <w:t>bildar mykorrhiza med gran. Växer i djup barrförna, gärna i gamla myrstackar, i medelålders till äldre ängsgranskog på kalkrik mark.</w:t>
      </w:r>
      <w:r>
        <w:rPr>
          <w:b/>
        </w:rPr>
        <w:t xml:space="preserve"> </w:t>
      </w:r>
      <w:r>
        <w:t>Minskningstakten uppgår till 30 % inom 50 år och överstiger gränsvärdet för Sårbar (VU) enligt A-kriteriet. (A2c+3c+4c). Arten missgynnas av avverkning och markberedning. Generellt bör lokaler som är särskilt rika på förekomster av sällsynta svampar säkerställas och lämnas för fri utveckling (SLU Artdatabanken, 2024).</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Violettfläckig spindling (VU)</w:t>
      </w:r>
      <w:r>
        <w:t xml:space="preserve"> bildar mykorrhiza med gran och tall i äldre kalkbarrskogar på torr, örtrik mark. Minskningstakten uppgår till 30 % inom 50 år och överstiger gränsvärdet för Sårbar (VU). Artens ekologiska krav med fynd enbart i äldre, örtrika kalkbarrskogar med kontinuitet, miljöer som idag ofta är starkt hotade av slutavverkningar, gör den mycket sårbar. Alla kända lokaler har ett högt skyddsvärde och kalkbarrskogar med höga naturvärden bör få områdesskydd med individuellt anpassade skötselråd (SLU Artdatabanken, 2024).</w:t>
      </w:r>
    </w:p>
    <w:p>
      <w:pPr>
        <w:pStyle w:val="Heading1"/>
      </w:pPr>
      <w:r>
        <w:t>Fridlysta arter</w:t>
      </w:r>
    </w:p>
    <w:p>
      <w:r>
        <w:t>Följande fridlysta arter har sina livsmiljöer och växtplatser i den avverkningsanmälda skogen: brudsporre (§8), Dactylorhiza incarnata subsp. incarnata (§8), dubbelnycklar (§8), kärrknipprot (§8) och ängsnycklar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18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