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15075-2025 i Gotlands kommun</w:t>
      </w:r>
    </w:p>
    <w:p>
      <w:r>
        <w:t>Detta dokument behandlar höga naturvärden i avverkningsanmälan A 15075-2025 i Gotlands kommun. Denna avverkningsanmälan inkom 2025-03-27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bananspindling (VU), granrotsspindling (VU), läderdoftande fingersvamp (VU), narrspindling (VU), svartgrön spindling (VU), taggfingersvamp (VU), tallpraktspindling (VU), violettfläckig spindling (VU), violgubbe (VU), barrviolspindling (NT), odörspindling (NT), spillkråka (NT, §4), äggspindling (NT), trollspindling (DD), anisspindling (S), blå slemspindling (S), blåmossa (S), fjällig taggsvamp s.str. (S), grönpyrola (S), kalktallört (S), kattfotslav (S), kryddspindling (S), olivspindling (S), rödgul trumpetsvamp (S), skogsknipprot (S, §8), svavelriska (S), sårläka (S), toppvaxing (S), kungsfågel (§4)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5075-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6367887, E 715321 i SWEREF 99 TM.</w:t>
      </w:r>
    </w:p>
    <w:p>
      <w:r>
        <w:rPr>
          <w:b/>
        </w:rPr>
        <w:t xml:space="preserve">Bananspindling (VU) </w:t>
      </w:r>
      <w:r>
        <w:t>bildar mykorrhiza med ek, hassel och lind, i blandad ädellövskog och hässlen på kalkrik mark. Främsta hotet är olika former av exploateringar och skogsbruksåtgärder. Artens växtplatser får inte utsättas för huggningar eller andra kraftiga störningar som förändrar miljön. Bananspindlingen har fått sitt namn från att den har en mer eller mindre tydlig doft av banan/bananskal (SLU Artdatabanken, 2024).</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skogsknipprot (S, §8),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