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22404-2024 i Gotlands kommun</w:t>
      </w:r>
    </w:p>
    <w:p>
      <w:r>
        <w:t>Detta dokument behandlar höga naturvärden i avverkningsanmälan A 22404-2024 i Gotlands kommun. Denna avverkningsanmälan inkom 2024-06-03 00:00:00 och omfattar 11,4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blåfotad fagerspindling (VU), bullspindling (VU), vit taggsvamp (VU), barrfagerspindling (S), blå slemspindling (S), flugblomster (S, §8), purpurknipprot (S, §8), rödgul trumpetsvamp (S), svavelriska (S) och tvåblad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6151"/>
            <wp:docPr id="1" name="Picture 1"/>
            <wp:cNvGraphicFramePr>
              <a:graphicFrameLocks noChangeAspect="1"/>
            </wp:cNvGraphicFramePr>
            <a:graphic>
              <a:graphicData uri="http://schemas.openxmlformats.org/drawingml/2006/picture">
                <pic:pic>
                  <pic:nvPicPr>
                    <pic:cNvPr id="0" name="A 22404-2024 karta.png"/>
                    <pic:cNvPicPr/>
                  </pic:nvPicPr>
                  <pic:blipFill>
                    <a:blip r:embed="rId16"/>
                    <a:stretch>
                      <a:fillRect/>
                    </a:stretch>
                  </pic:blipFill>
                  <pic:spPr>
                    <a:xfrm>
                      <a:off x="0" y="0"/>
                      <a:ext cx="5486400" cy="44961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6377926, E 724233 i SWEREF 99 TM.</w:t>
      </w:r>
    </w:p>
    <w:p>
      <w:r>
        <w:rPr>
          <w:b/>
        </w:rPr>
        <w:t xml:space="preserve">Blåfotad fagerspindling (VU) </w:t>
      </w:r>
      <w:r>
        <w:t>bildar mykorrhiza med barrträd och växer enbart i örtrika äldre grandominerade kalkbarrskogar med lång kontinuitet och hög bonitet, miljöer som idag är starkt hotade av slutavverkningar.</w:t>
      </w:r>
      <w:r>
        <w:rPr>
          <w:b/>
        </w:rPr>
        <w:t xml:space="preserve"> </w:t>
      </w:r>
      <w:r>
        <w:t>Arten är placerad högst upp i Skogsstyrelsens värdepyramid för bedömning av skog med höga naturvärden och är liksom en lång rad följearter knutna till kalkrika barrblandskogar med lång kontinuitet beroende av områdesskydd eller naturvårdsavtal som förhindrar slutavverkningar av dess växtmiljöer (SLU Artdatabanken, 2024; Nitare &amp; Skogsstyrelsen, 2019).</w:t>
      </w:r>
    </w:p>
    <w:p>
      <w:r>
        <w:rPr>
          <w:b/>
        </w:rPr>
        <w:t>Bullspindling (VU)</w:t>
      </w:r>
      <w:r>
        <w:t xml:space="preserve"> är en kräsen och mycket bra signalart för skyddsvärda äldre granskogar på kalkrik mark. Den är placerad högst upp i Skogsstyrelsens värdepyramid för bedömning av skog med höga naturvärden och skogsbruk, främst kalavverkning utgör ett stort hot mot arten. Artens minskningstakt uppgår till 30 % inom 50 år och överstiger gränsvärdet för Sårbar (VU)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Vit taggsvamp (VU) </w:t>
      </w:r>
      <w:r>
        <w:t>bildar mykorrhiza med gran och tall i äldre ängsgranskog och hällmarksbarrskog på kalkrik mark. Kända aktuella lokaler finns endast på Gotland. Det främsta hotet mot arten är avverkning av dess värdträd gran och tall och kända lokaler bör undantas från avverkning för att säkra att dessa hålls intakta (SLU Artdatabanken, 2024).</w:t>
      </w:r>
    </w:p>
    <w:p>
      <w:pPr>
        <w:pStyle w:val="Heading1"/>
      </w:pPr>
      <w:r>
        <w:t>Fridlysta arter</w:t>
      </w:r>
    </w:p>
    <w:p>
      <w:r>
        <w:t>Följande fridlysta arter har sina livsmiljöer och växtplatser i den avverkningsanmälda skogen: flugblomster (S, §8), purpurknipprot (S, §8) och 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