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25218-2021 i Gotlands kommun</w:t>
      </w:r>
    </w:p>
    <w:p>
      <w:r>
        <w:t>Detta dokument behandlar höga naturvärden i avverkningsanmälan A 25218-2021 i Gotlands kommun. Denna avverkningsanmälan inkom 2021-05-26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mörk lundlav (CR), ask (EN), ädellav (EN), almlav (VU), klosterlav (VU), mörk kraterlav (VU), rosa lundlav (VU), duvhök (NT, §4), grönsångare (NT, §4), Hypoxylon petriniae (NT), mindre hackspett (NT, §4), prydnadsbock (NT), rosa skärelav (NT), spillkråka (NT, §4), svart askbastborre (NT), tallticka (NT), björksplintborre (S), guldlockmossa (S), hasselsopp (S), lönnlav (S), mindre märgborre (S), nästrot (S, §8), rikfruktig blemlav (S), skogsknipprot (S, §8), slät lönnlav (S), sårläka (S), tvåblad (S, §8), halsbandsflugsnappare (§4), skogsduva (§4), sankt pers nycklar (§8), blåsippa (§9) och gullviva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5218-2021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Rosa lundlav (VU)</w:t>
      </w:r>
      <w:r>
        <w:t xml:space="preserve"> växer på ädellövträd i gamla skogar med hög och jämn luftfuktighet och signalerar skyddsvärda ädellövskogar med lång kontinuitet. Minskningstakten uppgår till 30 (20–50) % inom 50 år och överstiger gränsvärdet för Sårbar (VU). Lokaler med rika förekomster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duvhök (NT, §4), grönsångare (NT, §4), mindre hackspett (NT, §4), spillkråka (NT, §4), nästrot (S, §8), skogsknipprot (S, §8), tvåblad (S, §8), halsbandsflugsnappare (§4), skogsduva (§4),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