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25779-2022 i Gotlands kommun</w:t>
      </w:r>
    </w:p>
    <w:p>
      <w:r>
        <w:t>Detta dokument behandlar höga naturvärden i avverkningsanmälan A 25779-2022 i Gotlands kommun. Denna avverkningsanmälan inkom 2022-06-21 00:00:00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duvspindling (VU), knärot (VU, §8), ruttaggsvamp (VU), jordtistel (NT), odörspindling (NT), svart taggsvamp (NT), nästrot (S, §8), rödgul trumpetsvamp (S), skogsknipprot (S, §8), strimspindling (S), strävlosta (S), svavelriska (S), vit skogslilja (S, §8)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25779-2022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6378873, E 724655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Ruttaggsvamp (VU) </w:t>
      </w:r>
      <w:r>
        <w:t>är en sällsynt ”toppart” knuten till tall på kalkrik mark. Arten är placerad högst upp i Skogsstyrelsens värdepyramid för bedömning av skog med höga naturvärden och tål inte en slutavverkning utan kräver ett kontinuerligt trädskikt med tall. Skogsområden med arten bör skyddas och undantas rationellt skogsbruk. Slutavverkning, kraftig gallring och skogsmarksgödsling måste helt undvikas. Ruttaggsvamp är globalt rödlistad som sårbar (VU) vilket innebär att Sverige har ett internationellt ansvar för arten (IUCN,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nästrot (S, §8), skogsknipprot (S, §8) och vit skogslilja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25779-2022 karta knärot.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6378873, E 724655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